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38244518"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5C0AB5">
        <w:rPr>
          <w:rFonts w:cs="Arial"/>
          <w:b/>
          <w:bCs/>
          <w:kern w:val="0"/>
          <w:sz w:val="24"/>
        </w:rPr>
        <w:t>5</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sidR="00E252F3">
        <w:rPr>
          <w:rFonts w:cs="Arial"/>
          <w:b/>
          <w:bCs/>
          <w:kern w:val="0"/>
          <w:sz w:val="24"/>
        </w:rPr>
        <w:t>R2-210</w:t>
      </w:r>
      <w:r w:rsidR="00D34CDC">
        <w:rPr>
          <w:rFonts w:cs="Arial"/>
          <w:b/>
          <w:bCs/>
          <w:kern w:val="0"/>
          <w:sz w:val="24"/>
        </w:rPr>
        <w:t>7746</w:t>
      </w:r>
    </w:p>
    <w:p w14:paraId="13013E51" w14:textId="5125D3E8"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21350C">
        <w:rPr>
          <w:rFonts w:cs="Arial"/>
          <w:b/>
          <w:bCs/>
          <w:kern w:val="0"/>
          <w:sz w:val="24"/>
          <w:lang w:val="en-GB"/>
        </w:rPr>
        <w:t>1</w:t>
      </w:r>
      <w:r w:rsidR="005C0AB5">
        <w:rPr>
          <w:rFonts w:cs="Arial"/>
          <w:b/>
          <w:bCs/>
          <w:kern w:val="0"/>
          <w:sz w:val="24"/>
          <w:lang w:val="en-GB"/>
        </w:rPr>
        <w:t>6</w:t>
      </w:r>
      <w:r w:rsidR="0021350C">
        <w:rPr>
          <w:rFonts w:cs="Arial"/>
          <w:b/>
          <w:bCs/>
          <w:kern w:val="0"/>
          <w:sz w:val="24"/>
          <w:vertAlign w:val="superscript"/>
        </w:rPr>
        <w:t>th</w:t>
      </w:r>
      <w:r>
        <w:rPr>
          <w:rFonts w:cs="Arial"/>
          <w:b/>
          <w:bCs/>
          <w:kern w:val="0"/>
          <w:sz w:val="24"/>
          <w:lang w:val="en-GB"/>
        </w:rPr>
        <w:t xml:space="preserve"> – </w:t>
      </w:r>
      <w:r w:rsidR="0021350C">
        <w:rPr>
          <w:rFonts w:cs="Arial"/>
          <w:b/>
          <w:bCs/>
          <w:kern w:val="0"/>
          <w:sz w:val="24"/>
        </w:rPr>
        <w:t>2</w:t>
      </w:r>
      <w:r w:rsidR="00E252F3">
        <w:rPr>
          <w:rFonts w:cs="Arial"/>
          <w:b/>
          <w:bCs/>
          <w:kern w:val="0"/>
          <w:sz w:val="24"/>
        </w:rPr>
        <w:t>7</w:t>
      </w:r>
      <w:r>
        <w:rPr>
          <w:rFonts w:cs="Arial"/>
          <w:b/>
          <w:bCs/>
          <w:kern w:val="0"/>
          <w:sz w:val="24"/>
          <w:vertAlign w:val="superscript"/>
        </w:rPr>
        <w:t>th</w:t>
      </w:r>
      <w:r>
        <w:rPr>
          <w:rFonts w:cs="Arial"/>
          <w:b/>
          <w:bCs/>
          <w:kern w:val="0"/>
          <w:sz w:val="24"/>
          <w:lang w:val="en-GB"/>
        </w:rPr>
        <w:t xml:space="preserve"> </w:t>
      </w:r>
      <w:r w:rsidR="005C0AB5">
        <w:rPr>
          <w:rFonts w:cs="Arial"/>
          <w:b/>
          <w:bCs/>
          <w:kern w:val="0"/>
          <w:sz w:val="24"/>
        </w:rPr>
        <w:t>A</w:t>
      </w:r>
      <w:r w:rsidR="005C0AB5">
        <w:rPr>
          <w:rFonts w:cs="Arial" w:hint="eastAsia"/>
          <w:b/>
          <w:bCs/>
          <w:kern w:val="0"/>
          <w:sz w:val="24"/>
        </w:rPr>
        <w:t>ugust</w:t>
      </w:r>
      <w:r>
        <w:rPr>
          <w:rFonts w:cs="Arial" w:hint="eastAsia"/>
          <w:b/>
          <w:bCs/>
          <w:kern w:val="0"/>
          <w:sz w:val="24"/>
          <w:lang w:val="en-GB"/>
        </w:rPr>
        <w:t xml:space="preserve"> 20</w:t>
      </w:r>
      <w:r w:rsidR="0021350C">
        <w:rPr>
          <w:rFonts w:cs="Arial"/>
          <w:b/>
          <w:bCs/>
          <w:kern w:val="0"/>
          <w:sz w:val="24"/>
          <w:lang w:val="en-GB"/>
        </w:rPr>
        <w:t>21</w:t>
      </w:r>
      <w:r>
        <w:rPr>
          <w:rFonts w:cs="Arial"/>
          <w:b/>
          <w:bCs/>
          <w:kern w:val="0"/>
          <w:sz w:val="24"/>
          <w:lang w:val="en-GB"/>
        </w:rPr>
        <w:t xml:space="preserve"> </w:t>
      </w:r>
      <w:r w:rsidR="00E252F3">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0AF0403E"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21350C" w:rsidRPr="0021350C">
        <w:rPr>
          <w:rFonts w:cs="Arial"/>
          <w:b/>
          <w:bCs/>
          <w:snapToGrid w:val="0"/>
          <w:kern w:val="0"/>
          <w:sz w:val="24"/>
        </w:rPr>
        <w:t>Discussion on UE behaviour when SCG is deactivated</w:t>
      </w:r>
    </w:p>
    <w:p w14:paraId="774FE3B4" w14:textId="6A2208D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27555">
        <w:rPr>
          <w:rFonts w:cs="Arial"/>
          <w:b/>
          <w:bCs/>
          <w:snapToGrid w:val="0"/>
          <w:kern w:val="0"/>
          <w:sz w:val="24"/>
        </w:rPr>
        <w:t>8.2.2</w:t>
      </w:r>
      <w:r w:rsidR="0021350C">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60F3C65" w14:textId="4310E217" w:rsidR="0021350C" w:rsidRDefault="0021350C" w:rsidP="00A07A65">
      <w:pPr>
        <w:spacing w:before="120" w:after="0"/>
      </w:pPr>
      <w:r>
        <w:t>After RAN2_113e meeting, for UE behaviour when SCG is deactivated, RAN2 have made following agreements:</w:t>
      </w:r>
    </w:p>
    <w:p w14:paraId="6F5ECE7A"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ind w:left="567" w:hanging="283"/>
      </w:pPr>
      <w:r w:rsidRPr="00C467F7">
        <w:t>Agreements</w:t>
      </w:r>
    </w:p>
    <w:p w14:paraId="3A831A23"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spacing w:before="0" w:after="0"/>
        <w:ind w:left="568" w:hanging="284"/>
      </w:pPr>
      <w:r w:rsidRPr="00C467F7">
        <w:t xml:space="preserve">1 </w:t>
      </w:r>
      <w:r w:rsidRPr="00C467F7">
        <w:tab/>
        <w:t>Confirm that there is no PUSCH transmission on deactivated SCG. FFS if any other UL is allowed towards SCG.</w:t>
      </w:r>
    </w:p>
    <w:p w14:paraId="528E798B"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spacing w:before="0" w:after="0"/>
        <w:ind w:left="568" w:hanging="284"/>
      </w:pPr>
      <w:r w:rsidRPr="00C467F7">
        <w:t xml:space="preserve">2 </w:t>
      </w:r>
      <w:r w:rsidRPr="00C467F7">
        <w:tab/>
        <w:t>Confirm that there is no PDCCH monitoring on PSCell of the deactivated SCG.</w:t>
      </w:r>
    </w:p>
    <w:p w14:paraId="3ED9B89D"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spacing w:before="0" w:after="0"/>
        <w:ind w:left="568" w:hanging="284"/>
      </w:pPr>
      <w:r w:rsidRPr="00C467F7">
        <w:t xml:space="preserve">3 </w:t>
      </w:r>
      <w:r w:rsidRPr="00C467F7">
        <w:tab/>
        <w:t>Confirm that there is no support of SCell dormancy for SCG SCells within a deactivated SCG.</w:t>
      </w:r>
    </w:p>
    <w:p w14:paraId="0C4287C2" w14:textId="1B5CCD4A" w:rsidR="0021350C" w:rsidRDefault="0021350C" w:rsidP="00A07A65">
      <w:pPr>
        <w:spacing w:before="120" w:after="0"/>
      </w:pPr>
      <w:r>
        <w:t xml:space="preserve">In addition, companies discussed the necessity of </w:t>
      </w:r>
      <w:r w:rsidR="00176DD7">
        <w:t>RACH procedure when UE performs SCG activation. And whether/how to perform</w:t>
      </w:r>
      <w:r>
        <w:t xml:space="preserve"> </w:t>
      </w:r>
      <w:r w:rsidR="00176DD7">
        <w:t xml:space="preserve">RLM/BFD/RRM </w:t>
      </w:r>
      <w:r>
        <w:t xml:space="preserve">during SCG deactivation state. </w:t>
      </w:r>
      <w:r w:rsidR="00176DD7">
        <w:t xml:space="preserve">However, there is no much progress due to divergent views. </w:t>
      </w:r>
      <w:r>
        <w:t xml:space="preserve"> </w:t>
      </w:r>
    </w:p>
    <w:p w14:paraId="11DACD8F" w14:textId="5CE1408A" w:rsidR="0021350C" w:rsidRPr="0021350C" w:rsidRDefault="0021350C" w:rsidP="00176DD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Agreements</w:t>
      </w:r>
    </w:p>
    <w:p w14:paraId="120CA811"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2</w:t>
      </w:r>
      <w:r w:rsidRPr="0021350C">
        <w:rPr>
          <w:rFonts w:eastAsia="Times New Roman"/>
          <w:b/>
          <w:kern w:val="0"/>
          <w:szCs w:val="20"/>
          <w:lang w:val="en-GB" w:eastAsia="ja-JP"/>
        </w:rPr>
        <w:tab/>
        <w:t>The UE behaviour when the SCG activation is indicated to the UE via the MCG is one or more of the following options:</w:t>
      </w:r>
    </w:p>
    <w:p w14:paraId="0A984F8F"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1)</w:t>
      </w:r>
      <w:r w:rsidRPr="0021350C">
        <w:rPr>
          <w:rFonts w:eastAsia="Times New Roman"/>
          <w:b/>
          <w:kern w:val="0"/>
          <w:szCs w:val="20"/>
          <w:lang w:val="en-GB" w:eastAsia="ja-JP"/>
        </w:rPr>
        <w:tab/>
        <w:t>similar to reconfiguration with sync, i.e. the UE always initiates random access to the PSCell.</w:t>
      </w:r>
    </w:p>
    <w:p w14:paraId="1030E5B3"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2)</w:t>
      </w:r>
      <w:r w:rsidRPr="0021350C">
        <w:rPr>
          <w:rFonts w:eastAsia="Times New Roman"/>
          <w:b/>
          <w:kern w:val="0"/>
          <w:szCs w:val="20"/>
          <w:lang w:val="en-GB" w:eastAsia="ja-JP"/>
        </w:rPr>
        <w:tab/>
        <w:t>in certain cases:</w:t>
      </w:r>
    </w:p>
    <w:p w14:paraId="3EE8BD76"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the UE does not initiate random access and monitors PDCCH on the PSCell (at the latest after the specified processing time).</w:t>
      </w:r>
    </w:p>
    <w:p w14:paraId="01B92742"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the SCG can schedule data transmission on the PDCCH</w:t>
      </w:r>
    </w:p>
    <w:p w14:paraId="3723C06E"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The UE decides not to perform random access (one option to be selected):</w:t>
      </w:r>
    </w:p>
    <w:p w14:paraId="719A114E"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2a) if the TA timer is still running and possibly other conditions (FFS how TAT starts)</w:t>
      </w:r>
    </w:p>
    <w:p w14:paraId="3E96C9E8"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2b) based on the contents of the SCG activation indication</w:t>
      </w:r>
    </w:p>
    <w:p w14:paraId="39CCAAC3"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FFS for option 2a): in the SCG deactivated state, the UE monitors some DL beams (FFS if the same as BFD or RLM) and, if the UE sees that the beams are not good enough (details FFS), the UE either (one of the options to be selected):</w:t>
      </w:r>
    </w:p>
    <w:p w14:paraId="7BBFE0BD"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will perform random access upon reception of the next SCG activation indication from the MCG</w:t>
      </w:r>
    </w:p>
    <w:p w14:paraId="0B1DB411"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reports measurement results (details FFS) via the MCG and wait for reconfiguration.</w:t>
      </w:r>
    </w:p>
    <w:p w14:paraId="0D9197F7"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p>
    <w:p w14:paraId="2CB0CF0E" w14:textId="61E2CB0E"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7</w:t>
      </w:r>
      <w:r w:rsidRPr="0021350C">
        <w:rPr>
          <w:rFonts w:eastAsia="Times New Roman"/>
          <w:b/>
          <w:kern w:val="0"/>
          <w:szCs w:val="20"/>
          <w:lang w:val="en-GB" w:eastAsia="ja-JP"/>
        </w:rPr>
        <w:tab/>
        <w:t>Further discuss the format and content of the SCG activation indication from the MCG to the UE after there is more progress on solution 2.</w:t>
      </w:r>
    </w:p>
    <w:p w14:paraId="1604063C"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lastRenderedPageBreak/>
        <w:t>5</w:t>
      </w:r>
      <w:r w:rsidRPr="0021350C">
        <w:rPr>
          <w:rFonts w:eastAsia="Times New Roman"/>
          <w:b/>
          <w:kern w:val="0"/>
          <w:szCs w:val="20"/>
          <w:lang w:val="en-GB" w:eastAsia="ja-JP"/>
        </w:rPr>
        <w:tab/>
        <w:t>Continue to discuss whether some kind of beam monitoring (similar to RLM/BFD) should be supported when the SCG is deactivated. FFS if this only applies to when TAT is running.</w:t>
      </w:r>
    </w:p>
    <w:p w14:paraId="336FDD7A"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6</w:t>
      </w:r>
      <w:r w:rsidRPr="0021350C">
        <w:rPr>
          <w:rFonts w:eastAsia="Times New Roman"/>
          <w:b/>
          <w:kern w:val="0"/>
          <w:szCs w:val="20"/>
          <w:lang w:val="en-GB" w:eastAsia="ja-JP"/>
        </w:rPr>
        <w:tab/>
        <w:t>Clarify the meaning of "the UE maintains DL sync while the SCG is deactivated" (e.g. whether that is a consequence of doing RRM measurements of the PSCell or something more is needed).</w:t>
      </w:r>
    </w:p>
    <w:p w14:paraId="58173A97" w14:textId="1A4170F4" w:rsidR="0043711F" w:rsidRDefault="00D1158C" w:rsidP="006D2426">
      <w:pPr>
        <w:spacing w:before="120" w:after="0"/>
      </w:pPr>
      <w:r>
        <w:t xml:space="preserve">After RAN2_114e meeting, RAN2 decided to use </w:t>
      </w:r>
      <w:r w:rsidR="00D34CDC">
        <w:t xml:space="preserve">a </w:t>
      </w:r>
      <w:r>
        <w:t xml:space="preserve">long term email </w:t>
      </w:r>
      <w:bookmarkStart w:id="2" w:name="_GoBack"/>
      <w:bookmarkEnd w:id="2"/>
      <w:r>
        <w:t xml:space="preserve">to continue the discussion, including how to achieve RACH-less SCG activation. </w:t>
      </w:r>
      <w:r w:rsidR="00176DD7">
        <w:t xml:space="preserve">In this document, we </w:t>
      </w:r>
      <w:r>
        <w:t>further discussed UE behaviour upon SCG deactivation and shared our views</w:t>
      </w:r>
      <w:r w:rsidR="006D2426">
        <w:t xml:space="preserve">. </w:t>
      </w:r>
    </w:p>
    <w:p w14:paraId="02C2FE69" w14:textId="5D98F41C" w:rsidR="00015639" w:rsidRDefault="008C52C2"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Consideration on RACH, </w:t>
      </w:r>
      <w:r w:rsidR="00D10F64">
        <w:rPr>
          <w:rFonts w:cs="Arial"/>
          <w:b w:val="0"/>
          <w:bCs w:val="0"/>
          <w:kern w:val="0"/>
          <w:sz w:val="32"/>
          <w:szCs w:val="36"/>
        </w:rPr>
        <w:t>RLM/</w:t>
      </w:r>
      <w:r w:rsidR="00A81403">
        <w:rPr>
          <w:rFonts w:cs="Arial"/>
          <w:b w:val="0"/>
          <w:bCs w:val="0"/>
          <w:kern w:val="0"/>
          <w:sz w:val="32"/>
          <w:szCs w:val="36"/>
        </w:rPr>
        <w:t>BFD</w:t>
      </w:r>
      <w:r w:rsidR="000E719D">
        <w:rPr>
          <w:rFonts w:cs="Arial"/>
          <w:b w:val="0"/>
          <w:bCs w:val="0"/>
          <w:kern w:val="0"/>
          <w:sz w:val="32"/>
          <w:szCs w:val="36"/>
        </w:rPr>
        <w:t xml:space="preserve"> and beam management</w:t>
      </w:r>
      <w:r w:rsidR="00A81403">
        <w:rPr>
          <w:rFonts w:cs="Arial"/>
          <w:b w:val="0"/>
          <w:bCs w:val="0"/>
          <w:kern w:val="0"/>
          <w:sz w:val="32"/>
          <w:szCs w:val="36"/>
        </w:rPr>
        <w:t xml:space="preserve"> </w:t>
      </w:r>
    </w:p>
    <w:p w14:paraId="016005CE" w14:textId="5CF4B6D6" w:rsidR="00015639" w:rsidRDefault="00015639" w:rsidP="00015639">
      <w:r>
        <w:t>Based on RAN2_113e agreements, when SCG is deactivated, UE does not monitor PDCCH of PSCell, and does not transmit PUSCH in SCG. However, companies haven’t concluded whether following</w:t>
      </w:r>
      <w:r w:rsidR="00002196">
        <w:t xml:space="preserve"> action</w:t>
      </w:r>
      <w:r>
        <w:t xml:space="preserve">s are needed. </w:t>
      </w:r>
    </w:p>
    <w:p w14:paraId="6BA986C6" w14:textId="5092BB2E" w:rsidR="00015639" w:rsidRDefault="00002196" w:rsidP="008C52C2">
      <w:pPr>
        <w:pStyle w:val="afffffff3"/>
        <w:numPr>
          <w:ilvl w:val="0"/>
          <w:numId w:val="31"/>
        </w:numPr>
      </w:pPr>
      <w:r>
        <w:t>Action</w:t>
      </w:r>
      <w:r w:rsidR="00015639">
        <w:t xml:space="preserve"> 1</w:t>
      </w:r>
      <w:r w:rsidR="00015639">
        <w:rPr>
          <w:rFonts w:hint="eastAsia"/>
        </w:rPr>
        <w:t>:</w:t>
      </w:r>
      <w:r w:rsidR="00015639">
        <w:t xml:space="preserve"> </w:t>
      </w:r>
      <w:r>
        <w:t xml:space="preserve">TAT handling, e.g. </w:t>
      </w:r>
      <w:r w:rsidR="00015639">
        <w:t>RACH;</w:t>
      </w:r>
    </w:p>
    <w:p w14:paraId="6F36D926" w14:textId="6A2AFBDB" w:rsidR="00A67AB7" w:rsidRDefault="00A67AB7" w:rsidP="00A67AB7">
      <w:pPr>
        <w:pStyle w:val="afffffff3"/>
        <w:numPr>
          <w:ilvl w:val="0"/>
          <w:numId w:val="31"/>
        </w:numPr>
      </w:pPr>
      <w:r>
        <w:t>Action 2: Beam management/CSI</w:t>
      </w:r>
    </w:p>
    <w:p w14:paraId="3CB02571" w14:textId="3B559BCB" w:rsidR="00015639" w:rsidRDefault="00015639" w:rsidP="008C52C2">
      <w:pPr>
        <w:pStyle w:val="afffffff3"/>
        <w:numPr>
          <w:ilvl w:val="0"/>
          <w:numId w:val="31"/>
        </w:numPr>
      </w:pPr>
      <w:r>
        <w:t>A</w:t>
      </w:r>
      <w:r w:rsidR="00002196">
        <w:t>ction</w:t>
      </w:r>
      <w:r>
        <w:t xml:space="preserve"> </w:t>
      </w:r>
      <w:r w:rsidR="00A67AB7">
        <w:t>3</w:t>
      </w:r>
      <w:r>
        <w:t xml:space="preserve">: </w:t>
      </w:r>
      <w:r w:rsidR="00A67AB7">
        <w:t>BFD</w:t>
      </w:r>
      <w:r>
        <w:t>;</w:t>
      </w:r>
    </w:p>
    <w:p w14:paraId="50D008AB" w14:textId="6E44E39E" w:rsidR="00015639" w:rsidRDefault="00DD6132" w:rsidP="008C52C2">
      <w:pPr>
        <w:pStyle w:val="afffffff3"/>
        <w:numPr>
          <w:ilvl w:val="0"/>
          <w:numId w:val="31"/>
        </w:numPr>
      </w:pPr>
      <w:r>
        <w:t>A</w:t>
      </w:r>
      <w:r w:rsidR="00002196">
        <w:t>ction</w:t>
      </w:r>
      <w:r>
        <w:t xml:space="preserve"> </w:t>
      </w:r>
      <w:r w:rsidR="00A67AB7">
        <w:t>4</w:t>
      </w:r>
      <w:r>
        <w:t xml:space="preserve">: </w:t>
      </w:r>
      <w:r w:rsidR="00A67AB7">
        <w:t>RLM</w:t>
      </w:r>
      <w:r>
        <w:t xml:space="preserve">; </w:t>
      </w:r>
      <w:r w:rsidR="00015639">
        <w:t xml:space="preserve"> </w:t>
      </w:r>
    </w:p>
    <w:p w14:paraId="4D1A32C7" w14:textId="37CA458B" w:rsidR="000E719D" w:rsidRDefault="00F24395" w:rsidP="000E719D">
      <w:r>
        <w:t>Durin</w:t>
      </w:r>
      <w:r w:rsidR="00DD6132">
        <w:t>g past discussion, th</w:t>
      </w:r>
      <w:r w:rsidR="00002196">
        <w:rPr>
          <w:rFonts w:hint="eastAsia"/>
        </w:rPr>
        <w:t>ese</w:t>
      </w:r>
      <w:r w:rsidR="00DD6132">
        <w:t xml:space="preserve"> </w:t>
      </w:r>
      <w:r w:rsidR="00002196">
        <w:t>aspects were</w:t>
      </w:r>
      <w:r w:rsidR="00DD6132">
        <w:t xml:space="preserve"> discussed s</w:t>
      </w:r>
      <w:r w:rsidR="00002196">
        <w:t xml:space="preserve">eparately. However, it is hard to reach consensus because those actions are </w:t>
      </w:r>
      <w:r w:rsidR="00002196">
        <w:rPr>
          <w:rFonts w:hint="eastAsia"/>
        </w:rPr>
        <w:t>related</w:t>
      </w:r>
      <w:r w:rsidR="00002196">
        <w:t xml:space="preserve">. </w:t>
      </w:r>
      <w:r w:rsidR="00214EA5">
        <w:t xml:space="preserve">For instance, if </w:t>
      </w:r>
      <w:r w:rsidR="002B1601">
        <w:t xml:space="preserve">we want to omit </w:t>
      </w:r>
      <w:r w:rsidR="00214EA5">
        <w:t xml:space="preserve">RACH </w:t>
      </w:r>
      <w:r w:rsidR="002B1601">
        <w:t>procedure</w:t>
      </w:r>
      <w:r w:rsidR="00214EA5">
        <w:t xml:space="preserve"> upon SCG activation</w:t>
      </w:r>
      <w:r w:rsidR="002B1601">
        <w:t xml:space="preserve"> (e.g. keeps TAT running), we should consider other </w:t>
      </w:r>
      <w:r w:rsidR="00BE174A">
        <w:t>means</w:t>
      </w:r>
      <w:r w:rsidR="002B1601">
        <w:t xml:space="preserve"> to ensure</w:t>
      </w:r>
      <w:r w:rsidR="00385AB2">
        <w:t xml:space="preserve"> the UE </w:t>
      </w:r>
      <w:r w:rsidR="000E719D">
        <w:t>and network are aware of the best</w:t>
      </w:r>
      <w:r w:rsidR="00385AB2">
        <w:t xml:space="preserve"> DL beams</w:t>
      </w:r>
      <w:r w:rsidR="000E719D">
        <w:t xml:space="preserve"> upon SCG activation</w:t>
      </w:r>
      <w:r w:rsidR="002B1601">
        <w:t xml:space="preserve">, so that UE can </w:t>
      </w:r>
      <w:r w:rsidR="000E719D">
        <w:t xml:space="preserve">be </w:t>
      </w:r>
      <w:r w:rsidR="002B1601">
        <w:t xml:space="preserve">successfully </w:t>
      </w:r>
      <w:r w:rsidR="000E719D">
        <w:t>scheduled</w:t>
      </w:r>
      <w:r w:rsidR="002B1601">
        <w:t xml:space="preserve"> upon SCG activation</w:t>
      </w:r>
      <w:r w:rsidR="00214EA5">
        <w:t xml:space="preserve">. </w:t>
      </w:r>
      <w:r w:rsidR="000E719D">
        <w:t>If we conclude RACH is always performed upon SCG activation, then both network and UE can obtain beam alignment information during RACH procedure, beam management during SCG deactivation seems not critical. For BFD, although it can help UE to be aware of degraded beam timely, it does not worth defining complex mechanism to support BFD RS re-configuration or BFR if we don’t aim to support RACH-less SCG activation.</w:t>
      </w:r>
    </w:p>
    <w:p w14:paraId="7C950202" w14:textId="2498FE9D" w:rsidR="000E719D" w:rsidRDefault="000E719D" w:rsidP="000E719D">
      <w:r>
        <w:t>As also discussed in email discussion [1], to support RACH-less SCG activation, two aspects should be ensured:</w:t>
      </w:r>
    </w:p>
    <w:p w14:paraId="1C6CA0A8" w14:textId="088830D6" w:rsidR="000E719D" w:rsidRDefault="000E719D" w:rsidP="000E719D">
      <w:pPr>
        <w:pStyle w:val="afffffff3"/>
        <w:numPr>
          <w:ilvl w:val="0"/>
          <w:numId w:val="39"/>
        </w:numPr>
      </w:pPr>
      <w:r>
        <w:t>Aspect 1: UL is synchronized (i.e. TA is valid);</w:t>
      </w:r>
    </w:p>
    <w:p w14:paraId="6313505D" w14:textId="5C170D64" w:rsidR="000E719D" w:rsidRDefault="000E719D" w:rsidP="000E719D">
      <w:pPr>
        <w:pStyle w:val="afffffff3"/>
        <w:numPr>
          <w:ilvl w:val="0"/>
          <w:numId w:val="39"/>
        </w:numPr>
      </w:pPr>
      <w:r>
        <w:t xml:space="preserve">Aspect 2: UE </w:t>
      </w:r>
      <w:r w:rsidR="001D18C3">
        <w:t xml:space="preserve">and network </w:t>
      </w:r>
      <w:r>
        <w:t xml:space="preserve">are aware of the </w:t>
      </w:r>
      <w:r w:rsidR="001D18C3">
        <w:t>good</w:t>
      </w:r>
      <w:r>
        <w:t xml:space="preserve"> DL beams upon SCG activation. </w:t>
      </w:r>
    </w:p>
    <w:p w14:paraId="5B2161EB" w14:textId="1925768C" w:rsidR="000E719D" w:rsidRDefault="000E719D" w:rsidP="000E719D">
      <w:pPr>
        <w:ind w:left="1418" w:hanging="1418"/>
      </w:pPr>
      <w:r>
        <w:rPr>
          <w:b/>
        </w:rPr>
        <w:t>Observation 1: To support RACH-less SCG activation, at least TA should be valid, and network knows the best DL beams so that UE can be successfully scheduled</w:t>
      </w:r>
      <w:r>
        <w:rPr>
          <w:rFonts w:hint="eastAsia"/>
          <w:b/>
        </w:rPr>
        <w:t>.</w:t>
      </w:r>
    </w:p>
    <w:p w14:paraId="42431AD8" w14:textId="27CA22B4" w:rsidR="001D18C3" w:rsidRPr="001D18C3" w:rsidRDefault="001D18C3" w:rsidP="001D18C3">
      <w:pPr>
        <w:rPr>
          <w:u w:val="single"/>
        </w:rPr>
      </w:pPr>
      <w:r w:rsidRPr="006B6893">
        <w:rPr>
          <w:highlight w:val="lightGray"/>
          <w:u w:val="single"/>
        </w:rPr>
        <w:t>About TA timer (Aspect 1)</w:t>
      </w:r>
      <w:r w:rsidRPr="006B6893">
        <w:rPr>
          <w:rFonts w:hint="eastAsia"/>
          <w:highlight w:val="lightGray"/>
          <w:u w:val="single"/>
        </w:rPr>
        <w:t>:</w:t>
      </w:r>
    </w:p>
    <w:p w14:paraId="307CB371" w14:textId="272551EF" w:rsidR="001D18C3" w:rsidRDefault="001D18C3" w:rsidP="001D18C3">
      <w:r w:rsidRPr="001D18C3">
        <w:t>Re</w:t>
      </w:r>
      <w:r>
        <w:t xml:space="preserve">garding the handling of TAT, based on previous discussion, some company suggests to always perform RACH upon SCG activation. The advantage of this solution is less spec impact and less standard effort, but clearly, the drawback is long latency caused by RACH procedure. In Rel-17, reduced SCG activation time should be a key factor that is pursued, so we suggest to support RACH-less SCG activation. So the simplest way is to keep TAT running when SCG is deactivated. In addition, considering SRS is not supported upon SCG deactivation state, we see no need to update TAT during SCG deactivated state. </w:t>
      </w:r>
    </w:p>
    <w:p w14:paraId="746787FF" w14:textId="221AC331" w:rsidR="000E719D" w:rsidRDefault="001D18C3" w:rsidP="001D18C3">
      <w:r>
        <w:rPr>
          <w:b/>
        </w:rPr>
        <w:t xml:space="preserve">Proposal 1: UE keeps TA timer running when entering SCG deactivation. </w:t>
      </w:r>
    </w:p>
    <w:p w14:paraId="2F0A886B" w14:textId="32AF9945" w:rsidR="001D18C3" w:rsidRDefault="001D18C3" w:rsidP="001D18C3">
      <w:pPr>
        <w:rPr>
          <w:u w:val="single"/>
        </w:rPr>
      </w:pPr>
      <w:r w:rsidRPr="006B6893">
        <w:rPr>
          <w:highlight w:val="lightGray"/>
          <w:u w:val="single"/>
        </w:rPr>
        <w:lastRenderedPageBreak/>
        <w:t>About DL beam awareness (Aspect 2)</w:t>
      </w:r>
      <w:r w:rsidRPr="006B6893">
        <w:rPr>
          <w:rFonts w:hint="eastAsia"/>
          <w:highlight w:val="lightGray"/>
          <w:u w:val="single"/>
        </w:rPr>
        <w:t>:</w:t>
      </w:r>
    </w:p>
    <w:p w14:paraId="1597A850" w14:textId="588799F3" w:rsidR="001D18C3" w:rsidRDefault="001D18C3" w:rsidP="001D18C3">
      <w:r>
        <w:t xml:space="preserve">According to email discussion [1], three options are </w:t>
      </w:r>
      <w:r w:rsidR="008640D5">
        <w:t>provided</w:t>
      </w:r>
      <w:r>
        <w:t>:</w:t>
      </w:r>
    </w:p>
    <w:p w14:paraId="4D61CE57" w14:textId="6A24BE58" w:rsidR="001D18C3" w:rsidRDefault="001D18C3" w:rsidP="001D18C3">
      <w:pPr>
        <w:pStyle w:val="afffffff3"/>
        <w:numPr>
          <w:ilvl w:val="0"/>
          <w:numId w:val="39"/>
        </w:numPr>
      </w:pPr>
      <w:r>
        <w:t>Option 1: BFD and RLM;</w:t>
      </w:r>
    </w:p>
    <w:p w14:paraId="3C35C67C" w14:textId="49D932D9" w:rsidR="001D18C3" w:rsidRDefault="001D18C3" w:rsidP="001D18C3">
      <w:pPr>
        <w:pStyle w:val="afffffff3"/>
        <w:numPr>
          <w:ilvl w:val="0"/>
          <w:numId w:val="39"/>
        </w:numPr>
      </w:pPr>
      <w:r>
        <w:t xml:space="preserve">Option 2: </w:t>
      </w:r>
      <w:r w:rsidR="008640D5">
        <w:t>L3 measurement reports</w:t>
      </w:r>
      <w:r>
        <w:t>;</w:t>
      </w:r>
    </w:p>
    <w:p w14:paraId="760C4595" w14:textId="70B2FF54" w:rsidR="001D18C3" w:rsidRDefault="001D18C3" w:rsidP="001D18C3">
      <w:pPr>
        <w:pStyle w:val="afffffff3"/>
        <w:numPr>
          <w:ilvl w:val="0"/>
          <w:numId w:val="39"/>
        </w:numPr>
      </w:pPr>
      <w:r>
        <w:t>Option 3: L1 measurem</w:t>
      </w:r>
      <w:r w:rsidR="008640D5">
        <w:t>ent</w:t>
      </w:r>
      <w:r w:rsidR="000C61B5">
        <w:t xml:space="preserve"> reports</w:t>
      </w:r>
      <w:r>
        <w:t xml:space="preserve">. </w:t>
      </w:r>
    </w:p>
    <w:p w14:paraId="6789E0D4" w14:textId="77777777" w:rsidR="000C61B5" w:rsidRDefault="00506FBA" w:rsidP="001D18C3">
      <w:r>
        <w:t>Among the three options, Option 2 has big flaw, because the measurement period of L3 measurement is much longer than L1 measurements. So if UE moves, the L3 measurement cannot be updated timely, thus it may cause misjudgment.</w:t>
      </w:r>
    </w:p>
    <w:p w14:paraId="77E02AB4" w14:textId="1FA6C15E" w:rsidR="00EC138A" w:rsidRDefault="000C61B5" w:rsidP="001D18C3">
      <w:r>
        <w:t xml:space="preserve">For Option 1, we think it makes sense to support BFD and RLM, because based on existing mechanism, if BFD failure or RLF is declared, UE will send information to network, then network can take appropriate action timely. Like to reconfigure the SCG, change the SN or delete the SN. </w:t>
      </w:r>
      <w:r w:rsidR="00EC138A">
        <w:t xml:space="preserve">No need to wait for L3 measurement report. </w:t>
      </w:r>
    </w:p>
    <w:p w14:paraId="105868E2" w14:textId="77777777" w:rsidR="00EC138A" w:rsidRDefault="00EC138A" w:rsidP="00EC138A">
      <w:r>
        <w:t xml:space="preserve">However, as we discussed above, UE can omit RACH procedure when TA timer is running and DL beam is still good. If TA timer expires, the UE is required to do RACH upon SCG activation, thus performing RLM/BFD, beam management after TAT expires does not bring much benefit. So we suggest to stop RLM, BFD and beam management upon TAT expires. </w:t>
      </w:r>
    </w:p>
    <w:p w14:paraId="2ABC615F" w14:textId="77777777" w:rsidR="00EC138A" w:rsidRPr="00711599" w:rsidRDefault="00EC138A" w:rsidP="00EC138A">
      <w:r>
        <w:t>On the other hand, there was proposal to support UE to send failure report to network when e.g. BFD failure is detected, and network can update the BFD reference signal then. In our understanding, this works and can provide more chance to UE to do RACH-less SCG activation. However, due to the limited time of work item and there are several remaining issues (e.g. UE triggered SCG activation) that need discussion, we would prefer a simple solution in Rel-17</w:t>
      </w:r>
      <w:r>
        <w:rPr>
          <w:rFonts w:hint="eastAsia"/>
        </w:rPr>
        <w:t>.</w:t>
      </w:r>
      <w:r>
        <w:t xml:space="preserve"> So we propose: </w:t>
      </w:r>
    </w:p>
    <w:p w14:paraId="5DACECD0" w14:textId="56E399C8" w:rsidR="00EC138A" w:rsidRDefault="00EC138A" w:rsidP="00CC3A39">
      <w:pPr>
        <w:ind w:left="1134" w:hanging="1134"/>
        <w:rPr>
          <w:b/>
        </w:rPr>
      </w:pPr>
      <w:r>
        <w:rPr>
          <w:b/>
        </w:rPr>
        <w:t>Proposal 2: UE performs BFD and RLM when enters SCG deactivation. UE stops BFD</w:t>
      </w:r>
      <w:r w:rsidR="00D21966">
        <w:rPr>
          <w:b/>
        </w:rPr>
        <w:t xml:space="preserve"> and RLM</w:t>
      </w:r>
      <w:r>
        <w:rPr>
          <w:b/>
        </w:rPr>
        <w:t xml:space="preserve"> when TA timer expires, and UE stops TA timer when BFD failure </w:t>
      </w:r>
      <w:r w:rsidR="00D21966">
        <w:rPr>
          <w:b/>
        </w:rPr>
        <w:t xml:space="preserve">or RLF </w:t>
      </w:r>
      <w:r>
        <w:rPr>
          <w:b/>
        </w:rPr>
        <w:t>is declared.</w:t>
      </w:r>
    </w:p>
    <w:p w14:paraId="4F91A095" w14:textId="5B3DFE9C" w:rsidR="00142B26" w:rsidRPr="00142B26" w:rsidRDefault="00142B26" w:rsidP="00142B26">
      <w:pPr>
        <w:ind w:left="1134" w:hanging="1134"/>
      </w:pPr>
      <w:r w:rsidRPr="00142B26">
        <w:t xml:space="preserve">If </w:t>
      </w:r>
      <w:r>
        <w:t xml:space="preserve">BFD failure or RLF is declared, UE can send report to network. </w:t>
      </w:r>
    </w:p>
    <w:p w14:paraId="5E4D8CE8" w14:textId="77777777" w:rsidR="00142B26" w:rsidRDefault="00142B26" w:rsidP="00142B26">
      <w:pPr>
        <w:ind w:left="1134" w:hanging="1134"/>
        <w:rPr>
          <w:b/>
        </w:rPr>
      </w:pPr>
      <w:r>
        <w:rPr>
          <w:b/>
        </w:rPr>
        <w:t>Proposal 3: When RLF is declared while SCG is deactivated, UE transmits SCGFailureInformation to SN via MCG (follow legacy behaviour)</w:t>
      </w:r>
      <w:r>
        <w:rPr>
          <w:rFonts w:hint="eastAsia"/>
          <w:b/>
        </w:rPr>
        <w:t>.</w:t>
      </w:r>
    </w:p>
    <w:p w14:paraId="6023917F" w14:textId="77777777" w:rsidR="00142B26" w:rsidRDefault="00142B26" w:rsidP="00142B26">
      <w:pPr>
        <w:ind w:left="1134" w:hanging="1134"/>
        <w:rPr>
          <w:b/>
        </w:rPr>
      </w:pPr>
      <w:r>
        <w:rPr>
          <w:b/>
        </w:rPr>
        <w:t>Proposal 4: When BFD failure is declared while SCG is deactivated, UE sends indication to SN via MCG (FFS on which message is used)</w:t>
      </w:r>
      <w:r>
        <w:rPr>
          <w:rFonts w:hint="eastAsia"/>
          <w:b/>
        </w:rPr>
        <w:t>.</w:t>
      </w:r>
    </w:p>
    <w:p w14:paraId="08E72438" w14:textId="124FDB93" w:rsidR="00EC138A" w:rsidRDefault="00CC3A39" w:rsidP="001D18C3">
      <w:r>
        <w:t>For L1 measurement</w:t>
      </w:r>
      <w:r w:rsidR="00EC138A">
        <w:t xml:space="preserve">, we think </w:t>
      </w:r>
      <w:r>
        <w:t>BFD/RLM (</w:t>
      </w:r>
      <w:r w:rsidR="00EC138A">
        <w:t>Option 1</w:t>
      </w:r>
      <w:r>
        <w:t>)</w:t>
      </w:r>
      <w:r w:rsidR="00EC138A">
        <w:t xml:space="preserve"> </w:t>
      </w:r>
      <w:r>
        <w:t xml:space="preserve">can </w:t>
      </w:r>
      <w:r w:rsidR="00EC138A">
        <w:t xml:space="preserve">work with </w:t>
      </w:r>
      <w:r>
        <w:t>L1 measurement (</w:t>
      </w:r>
      <w:r w:rsidR="00EC138A">
        <w:t>Option 3</w:t>
      </w:r>
      <w:r>
        <w:t>)</w:t>
      </w:r>
      <w:r w:rsidR="00EC138A">
        <w:t xml:space="preserve">, because network usually configures multiple DL beams for BFD and RLM. Network still has to know which DL beam within the group is suitable for DL scheduling. So L1 measurement is required. (This is similar to normal UE behaviour, that BFD/RLM and beam management are both useful). </w:t>
      </w:r>
    </w:p>
    <w:p w14:paraId="7A400134" w14:textId="4E2F2769" w:rsidR="000C61B5" w:rsidRPr="001D18C3" w:rsidRDefault="00EC138A" w:rsidP="001D18C3">
      <w:r>
        <w:t>However, f</w:t>
      </w:r>
      <w:r w:rsidR="000C61B5">
        <w:t xml:space="preserve">or L1 measurement, we think </w:t>
      </w:r>
      <w:r w:rsidR="00051351">
        <w:t>there are two alternative solutions:</w:t>
      </w:r>
    </w:p>
    <w:p w14:paraId="159E8564" w14:textId="33D2CDFF" w:rsidR="00051351" w:rsidRDefault="000C61B5" w:rsidP="00051351">
      <w:pPr>
        <w:widowControl/>
        <w:numPr>
          <w:ilvl w:val="0"/>
          <w:numId w:val="41"/>
        </w:numPr>
        <w:spacing w:after="0" w:line="259" w:lineRule="auto"/>
        <w:ind w:left="993" w:hanging="993"/>
        <w:jc w:val="left"/>
        <w:rPr>
          <w:rFonts w:eastAsia="Yu Mincho" w:cs="Arial"/>
          <w:lang w:eastAsia="ja-JP"/>
        </w:rPr>
      </w:pPr>
      <w:r w:rsidRPr="00051351">
        <w:rPr>
          <w:rFonts w:eastAsia="Yu Mincho" w:cs="Arial"/>
          <w:lang w:eastAsia="ja-JP"/>
        </w:rPr>
        <w:t xml:space="preserve">Alt 1: </w:t>
      </w:r>
      <w:r w:rsidR="00051351">
        <w:rPr>
          <w:rFonts w:eastAsia="Yu Mincho" w:cs="Arial"/>
          <w:lang w:eastAsia="ja-JP"/>
        </w:rPr>
        <w:t>UE sends L1 measurement report to network.</w:t>
      </w:r>
    </w:p>
    <w:p w14:paraId="0F6EB6AD" w14:textId="68672DD3" w:rsidR="000C61B5" w:rsidRPr="00886636" w:rsidRDefault="00E96CEF" w:rsidP="00886636">
      <w:pPr>
        <w:pStyle w:val="afffffff3"/>
        <w:widowControl/>
        <w:numPr>
          <w:ilvl w:val="0"/>
          <w:numId w:val="42"/>
        </w:numPr>
        <w:spacing w:after="0" w:line="259" w:lineRule="auto"/>
        <w:ind w:left="993" w:hanging="284"/>
        <w:jc w:val="left"/>
        <w:rPr>
          <w:rFonts w:eastAsia="Yu Mincho" w:cs="Arial"/>
        </w:rPr>
      </w:pPr>
      <w:r>
        <w:rPr>
          <w:rFonts w:eastAsia="Yu Mincho" w:cs="Arial"/>
        </w:rPr>
        <w:t xml:space="preserve"> </w:t>
      </w:r>
      <w:r w:rsidR="00886636" w:rsidRPr="00051351">
        <w:rPr>
          <w:rFonts w:eastAsia="Yu Mincho" w:cs="Arial"/>
        </w:rPr>
        <w:t>Network requests UE to report L1 measurement before sending SCG activation command. And network allocates UL-grant based on L1 measurements sent by UE</w:t>
      </w:r>
      <w:r w:rsidR="00D746C7">
        <w:rPr>
          <w:rFonts w:eastAsia="Yu Mincho" w:cs="Arial"/>
        </w:rPr>
        <w:t xml:space="preserve">, </w:t>
      </w:r>
    </w:p>
    <w:p w14:paraId="1DE2DE77" w14:textId="68D59118" w:rsidR="00051351" w:rsidRDefault="000C61B5" w:rsidP="00051351">
      <w:pPr>
        <w:widowControl/>
        <w:numPr>
          <w:ilvl w:val="0"/>
          <w:numId w:val="41"/>
        </w:numPr>
        <w:spacing w:before="120" w:after="0" w:line="259" w:lineRule="auto"/>
        <w:ind w:left="992" w:hanging="992"/>
        <w:jc w:val="left"/>
        <w:rPr>
          <w:rFonts w:eastAsia="Yu Mincho" w:cs="Arial"/>
          <w:lang w:eastAsia="ja-JP"/>
        </w:rPr>
      </w:pPr>
      <w:r>
        <w:rPr>
          <w:rFonts w:eastAsia="Yu Mincho" w:cs="Arial"/>
          <w:lang w:eastAsia="ja-JP"/>
        </w:rPr>
        <w:t xml:space="preserve">Alt 2: </w:t>
      </w:r>
      <w:r w:rsidR="00D746C7">
        <w:rPr>
          <w:rFonts w:eastAsia="Yu Mincho" w:cs="Arial"/>
          <w:lang w:eastAsia="ja-JP"/>
        </w:rPr>
        <w:t>No report is sent to network</w:t>
      </w:r>
      <w:r w:rsidR="00051351">
        <w:rPr>
          <w:rFonts w:eastAsia="Yu Mincho" w:cs="Arial"/>
          <w:lang w:eastAsia="ja-JP"/>
        </w:rPr>
        <w:t xml:space="preserve">. </w:t>
      </w:r>
    </w:p>
    <w:p w14:paraId="642C2301" w14:textId="7AABB273" w:rsidR="00D746C7" w:rsidRPr="00141F2A" w:rsidRDefault="00051351" w:rsidP="00015639">
      <w:pPr>
        <w:pStyle w:val="afffffff3"/>
        <w:widowControl/>
        <w:numPr>
          <w:ilvl w:val="0"/>
          <w:numId w:val="42"/>
        </w:numPr>
        <w:spacing w:after="0" w:line="259" w:lineRule="auto"/>
        <w:ind w:left="993" w:hanging="284"/>
        <w:jc w:val="left"/>
        <w:rPr>
          <w:rFonts w:eastAsia="Yu Mincho" w:cs="Arial"/>
        </w:rPr>
      </w:pPr>
      <w:r>
        <w:rPr>
          <w:rFonts w:eastAsia="Yu Mincho" w:cs="Arial"/>
        </w:rPr>
        <w:lastRenderedPageBreak/>
        <w:t xml:space="preserve"> N</w:t>
      </w:r>
      <w:r w:rsidR="000C61B5">
        <w:rPr>
          <w:rFonts w:eastAsia="Yu Mincho" w:cs="Arial"/>
        </w:rPr>
        <w:t xml:space="preserve">etwork provides UL grants (associated with </w:t>
      </w:r>
      <w:r>
        <w:rPr>
          <w:rFonts w:eastAsia="Yu Mincho" w:cs="Arial"/>
        </w:rPr>
        <w:t xml:space="preserve">DL </w:t>
      </w:r>
      <w:r w:rsidR="000C61B5">
        <w:rPr>
          <w:rFonts w:eastAsia="Yu Mincho" w:cs="Arial"/>
        </w:rPr>
        <w:t>beams) together with a threshold to UE in SCG activation command, only if the RSRP of a beam is above the threshold, UE can use the UL grants (i.e. RACH-Less), othe</w:t>
      </w:r>
      <w:r>
        <w:rPr>
          <w:rFonts w:eastAsia="Yu Mincho" w:cs="Arial"/>
        </w:rPr>
        <w:t>rwise, RACH should be triggered</w:t>
      </w:r>
      <w:r w:rsidR="00142B26">
        <w:rPr>
          <w:rFonts w:eastAsia="Yu Mincho" w:cs="Arial"/>
        </w:rPr>
        <w:t xml:space="preserve"> (method agreed in SDT)</w:t>
      </w:r>
      <w:r w:rsidR="000C61B5">
        <w:rPr>
          <w:rFonts w:eastAsia="Yu Mincho" w:cs="Arial"/>
        </w:rPr>
        <w:t>.</w:t>
      </w:r>
    </w:p>
    <w:p w14:paraId="18CFF026" w14:textId="0992ACC1" w:rsidR="00D746C7" w:rsidRDefault="00D746C7" w:rsidP="00141F2A">
      <w:pPr>
        <w:spacing w:before="120"/>
      </w:pPr>
      <w:r>
        <w:t>The comparison between Alt1 and Alt2 is given in below table:</w:t>
      </w:r>
    </w:p>
    <w:p w14:paraId="4AE6C0DA" w14:textId="27339D22" w:rsidR="00121FD8" w:rsidRDefault="00121FD8" w:rsidP="00121FD8">
      <w:pPr>
        <w:spacing w:before="120"/>
        <w:jc w:val="center"/>
      </w:pPr>
      <w:r>
        <w:t>Table 1 Comparison between Alt 1 and Alt 2</w:t>
      </w:r>
    </w:p>
    <w:tbl>
      <w:tblPr>
        <w:tblStyle w:val="af5"/>
        <w:tblW w:w="0" w:type="auto"/>
        <w:tblLook w:val="04A0" w:firstRow="1" w:lastRow="0" w:firstColumn="1" w:lastColumn="0" w:noHBand="0" w:noVBand="1"/>
      </w:tblPr>
      <w:tblGrid>
        <w:gridCol w:w="959"/>
        <w:gridCol w:w="4252"/>
        <w:gridCol w:w="4784"/>
      </w:tblGrid>
      <w:tr w:rsidR="00D746C7" w14:paraId="26A7F2EE" w14:textId="77777777" w:rsidTr="008B148B">
        <w:tc>
          <w:tcPr>
            <w:tcW w:w="959" w:type="dxa"/>
          </w:tcPr>
          <w:p w14:paraId="48498DC0" w14:textId="77777777" w:rsidR="00D746C7" w:rsidRDefault="00D746C7" w:rsidP="00015639"/>
        </w:tc>
        <w:tc>
          <w:tcPr>
            <w:tcW w:w="4252" w:type="dxa"/>
          </w:tcPr>
          <w:p w14:paraId="48CFDB23" w14:textId="2098DC2B" w:rsidR="00D746C7" w:rsidRDefault="00D746C7" w:rsidP="00015639">
            <w:r>
              <w:t>Pros</w:t>
            </w:r>
          </w:p>
        </w:tc>
        <w:tc>
          <w:tcPr>
            <w:tcW w:w="4784" w:type="dxa"/>
          </w:tcPr>
          <w:p w14:paraId="6916B198" w14:textId="73C8E52A" w:rsidR="00D746C7" w:rsidRDefault="00D746C7" w:rsidP="00015639">
            <w:r>
              <w:t>Cons</w:t>
            </w:r>
          </w:p>
        </w:tc>
      </w:tr>
      <w:tr w:rsidR="00D746C7" w14:paraId="06517DE0" w14:textId="77777777" w:rsidTr="008B148B">
        <w:tc>
          <w:tcPr>
            <w:tcW w:w="959" w:type="dxa"/>
          </w:tcPr>
          <w:p w14:paraId="64F189AC" w14:textId="063BBF2B" w:rsidR="00D746C7" w:rsidRDefault="00D746C7" w:rsidP="008B148B">
            <w:r>
              <w:t>Alt 1</w:t>
            </w:r>
          </w:p>
        </w:tc>
        <w:tc>
          <w:tcPr>
            <w:tcW w:w="4252" w:type="dxa"/>
          </w:tcPr>
          <w:p w14:paraId="52A72FAC" w14:textId="136E1885" w:rsidR="00D746C7" w:rsidRDefault="00377B8D" w:rsidP="00377B8D">
            <w:pPr>
              <w:pStyle w:val="afffffff3"/>
              <w:numPr>
                <w:ilvl w:val="0"/>
                <w:numId w:val="45"/>
              </w:numPr>
              <w:snapToGrid w:val="0"/>
              <w:ind w:left="317" w:hanging="317"/>
              <w:contextualSpacing w:val="0"/>
              <w:rPr>
                <w:sz w:val="18"/>
                <w:lang w:eastAsia="en-US"/>
              </w:rPr>
            </w:pPr>
            <w:r w:rsidRPr="00377B8D">
              <w:rPr>
                <w:sz w:val="18"/>
                <w:lang w:eastAsia="en-US"/>
              </w:rPr>
              <w:t xml:space="preserve">Low power consumption. </w:t>
            </w:r>
            <w:r w:rsidR="008B148B" w:rsidRPr="00377B8D">
              <w:rPr>
                <w:sz w:val="18"/>
                <w:lang w:eastAsia="en-US"/>
              </w:rPr>
              <w:t xml:space="preserve">Compare </w:t>
            </w:r>
            <w:r>
              <w:rPr>
                <w:sz w:val="18"/>
                <w:lang w:eastAsia="en-US"/>
              </w:rPr>
              <w:t>with</w:t>
            </w:r>
            <w:r w:rsidR="008B148B" w:rsidRPr="00377B8D">
              <w:rPr>
                <w:sz w:val="18"/>
                <w:lang w:eastAsia="en-US"/>
              </w:rPr>
              <w:t xml:space="preserve"> periodical L1 measurement, UE only needs to perform L1 measuremen</w:t>
            </w:r>
            <w:r>
              <w:rPr>
                <w:sz w:val="18"/>
                <w:lang w:eastAsia="en-US"/>
              </w:rPr>
              <w:t>t when SCG</w:t>
            </w:r>
            <w:r w:rsidRPr="00377B8D">
              <w:rPr>
                <w:sz w:val="18"/>
                <w:lang w:eastAsia="en-US"/>
              </w:rPr>
              <w:t xml:space="preserve"> is </w:t>
            </w:r>
            <w:r>
              <w:rPr>
                <w:sz w:val="18"/>
                <w:lang w:eastAsia="en-US"/>
              </w:rPr>
              <w:t>going to be activated</w:t>
            </w:r>
            <w:r w:rsidRPr="00377B8D">
              <w:rPr>
                <w:sz w:val="18"/>
                <w:lang w:eastAsia="en-US"/>
              </w:rPr>
              <w:t xml:space="preserve">. </w:t>
            </w:r>
          </w:p>
          <w:p w14:paraId="213B8399" w14:textId="418879B6" w:rsidR="00377B8D" w:rsidRPr="00377B8D" w:rsidRDefault="00377B8D" w:rsidP="00377B8D">
            <w:pPr>
              <w:pStyle w:val="afffffff3"/>
              <w:numPr>
                <w:ilvl w:val="0"/>
                <w:numId w:val="45"/>
              </w:numPr>
              <w:snapToGrid w:val="0"/>
              <w:ind w:left="317" w:hanging="317"/>
              <w:contextualSpacing w:val="0"/>
              <w:rPr>
                <w:sz w:val="18"/>
                <w:lang w:eastAsia="en-US"/>
              </w:rPr>
            </w:pPr>
            <w:r>
              <w:rPr>
                <w:sz w:val="18"/>
                <w:lang w:eastAsia="en-US"/>
              </w:rPr>
              <w:t xml:space="preserve">Network allocates UL grant based on the received measurement results. So it can avoid network to reserve redundant resources.  </w:t>
            </w:r>
          </w:p>
        </w:tc>
        <w:tc>
          <w:tcPr>
            <w:tcW w:w="4784" w:type="dxa"/>
          </w:tcPr>
          <w:p w14:paraId="4C3E3860" w14:textId="77777777" w:rsidR="00C42078" w:rsidRDefault="00377B8D" w:rsidP="0055675E">
            <w:pPr>
              <w:pStyle w:val="afffffff3"/>
              <w:numPr>
                <w:ilvl w:val="0"/>
                <w:numId w:val="47"/>
              </w:numPr>
              <w:snapToGrid w:val="0"/>
              <w:ind w:left="317" w:hanging="317"/>
              <w:contextualSpacing w:val="0"/>
              <w:rPr>
                <w:sz w:val="18"/>
                <w:lang w:eastAsia="en-US"/>
              </w:rPr>
            </w:pPr>
            <w:r w:rsidRPr="00377B8D">
              <w:rPr>
                <w:sz w:val="18"/>
                <w:lang w:eastAsia="en-US"/>
              </w:rPr>
              <w:t>If L1 measurement res</w:t>
            </w:r>
            <w:r>
              <w:rPr>
                <w:sz w:val="18"/>
                <w:lang w:eastAsia="en-US"/>
              </w:rPr>
              <w:t>ults are</w:t>
            </w:r>
            <w:r w:rsidRPr="00377B8D">
              <w:rPr>
                <w:sz w:val="18"/>
                <w:lang w:eastAsia="en-US"/>
              </w:rPr>
              <w:t xml:space="preserve"> sent to SN via MCG</w:t>
            </w:r>
            <w:r>
              <w:rPr>
                <w:sz w:val="18"/>
                <w:lang w:eastAsia="en-US"/>
              </w:rPr>
              <w:t>. Due to the transmission delay, the results may be over-dated, and causes misjudgment at network side.</w:t>
            </w:r>
          </w:p>
          <w:p w14:paraId="25C2674C" w14:textId="4C3D740E" w:rsidR="00377B8D" w:rsidRPr="00377B8D" w:rsidRDefault="00C42078" w:rsidP="0055675E">
            <w:pPr>
              <w:pStyle w:val="afffffff3"/>
              <w:numPr>
                <w:ilvl w:val="0"/>
                <w:numId w:val="47"/>
              </w:numPr>
              <w:snapToGrid w:val="0"/>
              <w:ind w:left="317" w:hanging="317"/>
              <w:contextualSpacing w:val="0"/>
              <w:rPr>
                <w:sz w:val="18"/>
                <w:lang w:eastAsia="en-US"/>
              </w:rPr>
            </w:pPr>
            <w:r>
              <w:rPr>
                <w:sz w:val="18"/>
                <w:lang w:eastAsia="en-US"/>
              </w:rPr>
              <w:t>The SCG activation delay is longer than Alt2, because network needs to first request the L1 measurement results, then send SCG activation command.</w:t>
            </w:r>
          </w:p>
          <w:p w14:paraId="03343E95" w14:textId="6F32FAB3" w:rsidR="00D746C7" w:rsidRPr="00377B8D" w:rsidRDefault="00F112E4" w:rsidP="00F112E4">
            <w:pPr>
              <w:pStyle w:val="afffffff3"/>
              <w:numPr>
                <w:ilvl w:val="0"/>
                <w:numId w:val="47"/>
              </w:numPr>
              <w:snapToGrid w:val="0"/>
              <w:ind w:left="317" w:hanging="317"/>
              <w:contextualSpacing w:val="0"/>
              <w:rPr>
                <w:sz w:val="18"/>
                <w:lang w:eastAsia="en-US"/>
              </w:rPr>
            </w:pPr>
            <w:r>
              <w:rPr>
                <w:sz w:val="18"/>
                <w:lang w:eastAsia="en-US"/>
              </w:rPr>
              <w:t>More s</w:t>
            </w:r>
            <w:r w:rsidR="00377B8D">
              <w:rPr>
                <w:sz w:val="18"/>
                <w:lang w:eastAsia="en-US"/>
              </w:rPr>
              <w:t>pecification effort. RAN2 needs to specify which nod</w:t>
            </w:r>
            <w:r>
              <w:rPr>
                <w:sz w:val="18"/>
                <w:lang w:eastAsia="en-US"/>
              </w:rPr>
              <w:t>e</w:t>
            </w:r>
            <w:r w:rsidR="00377B8D">
              <w:rPr>
                <w:sz w:val="18"/>
                <w:lang w:eastAsia="en-US"/>
              </w:rPr>
              <w:t xml:space="preserve"> </w:t>
            </w:r>
            <w:r>
              <w:rPr>
                <w:sz w:val="18"/>
                <w:lang w:eastAsia="en-US"/>
              </w:rPr>
              <w:t>in</w:t>
            </w:r>
            <w:r w:rsidR="00377B8D">
              <w:rPr>
                <w:sz w:val="18"/>
                <w:lang w:eastAsia="en-US"/>
              </w:rPr>
              <w:t xml:space="preserve"> UE to provide L1 measurement report</w:t>
            </w:r>
            <w:r w:rsidR="00171EEF">
              <w:rPr>
                <w:sz w:val="18"/>
                <w:lang w:eastAsia="en-US"/>
              </w:rPr>
              <w:t xml:space="preserve"> (probably SN, because SN knows beam information)</w:t>
            </w:r>
            <w:r w:rsidR="002C7D26">
              <w:rPr>
                <w:sz w:val="18"/>
                <w:lang w:eastAsia="en-US"/>
              </w:rPr>
              <w:t>.</w:t>
            </w:r>
            <w:r>
              <w:rPr>
                <w:sz w:val="18"/>
                <w:lang w:eastAsia="en-US"/>
              </w:rPr>
              <w:t xml:space="preserve"> And how to provide configuration to UE, and forward the results to SN. </w:t>
            </w:r>
            <w:r w:rsidR="002C7D26">
              <w:rPr>
                <w:sz w:val="18"/>
                <w:lang w:eastAsia="en-US"/>
              </w:rPr>
              <w:t xml:space="preserve"> </w:t>
            </w:r>
            <w:r w:rsidR="00171EEF">
              <w:rPr>
                <w:sz w:val="18"/>
                <w:lang w:eastAsia="en-US"/>
              </w:rPr>
              <w:t xml:space="preserve"> </w:t>
            </w:r>
          </w:p>
        </w:tc>
      </w:tr>
      <w:tr w:rsidR="00D746C7" w14:paraId="32573C76" w14:textId="77777777" w:rsidTr="008B148B">
        <w:tc>
          <w:tcPr>
            <w:tcW w:w="959" w:type="dxa"/>
          </w:tcPr>
          <w:p w14:paraId="78CF59CF" w14:textId="71DCC30F" w:rsidR="00D746C7" w:rsidRDefault="00D746C7" w:rsidP="00015639">
            <w:r>
              <w:t>Alt 2</w:t>
            </w:r>
          </w:p>
        </w:tc>
        <w:tc>
          <w:tcPr>
            <w:tcW w:w="4252" w:type="dxa"/>
          </w:tcPr>
          <w:p w14:paraId="555A207C" w14:textId="512AAE02" w:rsidR="00190312" w:rsidRDefault="00190312" w:rsidP="0055675E">
            <w:pPr>
              <w:pStyle w:val="afffffff3"/>
              <w:numPr>
                <w:ilvl w:val="0"/>
                <w:numId w:val="48"/>
              </w:numPr>
              <w:snapToGrid w:val="0"/>
              <w:ind w:left="317" w:hanging="317"/>
              <w:contextualSpacing w:val="0"/>
              <w:rPr>
                <w:sz w:val="18"/>
                <w:lang w:eastAsia="en-US"/>
              </w:rPr>
            </w:pPr>
            <w:r>
              <w:rPr>
                <w:sz w:val="18"/>
                <w:lang w:eastAsia="en-US"/>
              </w:rPr>
              <w:t xml:space="preserve">Lower power consumption, similar to Alt 1, UE only needs to do L1 measurement after SCG activation command is received. </w:t>
            </w:r>
          </w:p>
          <w:p w14:paraId="425D1C44" w14:textId="12E5863F" w:rsidR="0055675E" w:rsidRPr="0055675E" w:rsidRDefault="00F112E4" w:rsidP="0055675E">
            <w:pPr>
              <w:pStyle w:val="afffffff3"/>
              <w:numPr>
                <w:ilvl w:val="0"/>
                <w:numId w:val="48"/>
              </w:numPr>
              <w:snapToGrid w:val="0"/>
              <w:ind w:left="317" w:hanging="317"/>
              <w:contextualSpacing w:val="0"/>
              <w:rPr>
                <w:sz w:val="18"/>
                <w:lang w:eastAsia="en-US"/>
              </w:rPr>
            </w:pPr>
            <w:r>
              <w:rPr>
                <w:sz w:val="18"/>
                <w:lang w:eastAsia="en-US"/>
              </w:rPr>
              <w:t xml:space="preserve">UE is able to evaluate whether RACH is needed </w:t>
            </w:r>
            <w:r w:rsidR="0055675E">
              <w:rPr>
                <w:sz w:val="18"/>
                <w:lang w:eastAsia="en-US"/>
              </w:rPr>
              <w:t>base</w:t>
            </w:r>
            <w:r>
              <w:rPr>
                <w:sz w:val="18"/>
                <w:lang w:eastAsia="en-US"/>
              </w:rPr>
              <w:t xml:space="preserve"> on </w:t>
            </w:r>
            <w:r w:rsidR="0055675E">
              <w:rPr>
                <w:sz w:val="18"/>
                <w:lang w:eastAsia="en-US"/>
              </w:rPr>
              <w:t>its real-time measurement</w:t>
            </w:r>
            <w:r>
              <w:rPr>
                <w:sz w:val="18"/>
                <w:lang w:eastAsia="en-US"/>
              </w:rPr>
              <w:t>. (likes CHO)</w:t>
            </w:r>
          </w:p>
          <w:p w14:paraId="45B541C0" w14:textId="279E79B6" w:rsidR="00D746C7" w:rsidRPr="0055675E" w:rsidRDefault="0055675E" w:rsidP="0055675E">
            <w:pPr>
              <w:pStyle w:val="afffffff3"/>
              <w:numPr>
                <w:ilvl w:val="0"/>
                <w:numId w:val="48"/>
              </w:numPr>
              <w:snapToGrid w:val="0"/>
              <w:ind w:left="317" w:hanging="317"/>
              <w:contextualSpacing w:val="0"/>
              <w:rPr>
                <w:sz w:val="18"/>
                <w:lang w:eastAsia="en-US"/>
              </w:rPr>
            </w:pPr>
            <w:r>
              <w:rPr>
                <w:sz w:val="18"/>
                <w:lang w:eastAsia="en-US"/>
              </w:rPr>
              <w:t xml:space="preserve">This mechanism is already agreed in SDT, so there is no much specification effort because the signalling defined for SDT can mostly be reused. </w:t>
            </w:r>
          </w:p>
        </w:tc>
        <w:tc>
          <w:tcPr>
            <w:tcW w:w="4784" w:type="dxa"/>
          </w:tcPr>
          <w:p w14:paraId="55A83DC9" w14:textId="666BCCBE" w:rsidR="00D746C7" w:rsidRPr="00C42078" w:rsidRDefault="0055675E" w:rsidP="00190312">
            <w:pPr>
              <w:pStyle w:val="afffffff3"/>
              <w:numPr>
                <w:ilvl w:val="0"/>
                <w:numId w:val="49"/>
              </w:numPr>
              <w:snapToGrid w:val="0"/>
              <w:ind w:left="317" w:hanging="317"/>
              <w:contextualSpacing w:val="0"/>
              <w:rPr>
                <w:sz w:val="18"/>
                <w:lang w:eastAsia="en-US"/>
              </w:rPr>
            </w:pPr>
            <w:r>
              <w:rPr>
                <w:sz w:val="18"/>
                <w:lang w:eastAsia="en-US"/>
              </w:rPr>
              <w:t>Network may need to allocate UL-grant</w:t>
            </w:r>
            <w:r w:rsidR="00190312">
              <w:rPr>
                <w:sz w:val="18"/>
                <w:lang w:eastAsia="en-US"/>
              </w:rPr>
              <w:t xml:space="preserve">s </w:t>
            </w:r>
            <w:r w:rsidR="00C42078">
              <w:rPr>
                <w:sz w:val="18"/>
                <w:lang w:eastAsia="en-US"/>
              </w:rPr>
              <w:t>for m</w:t>
            </w:r>
            <w:r w:rsidR="00C42078">
              <w:rPr>
                <w:rFonts w:hint="eastAsia"/>
                <w:sz w:val="18"/>
                <w:lang w:eastAsia="zh-CN"/>
              </w:rPr>
              <w:t>ultiple</w:t>
            </w:r>
            <w:r>
              <w:rPr>
                <w:sz w:val="18"/>
                <w:lang w:eastAsia="en-US"/>
              </w:rPr>
              <w:t xml:space="preserve"> beams (</w:t>
            </w:r>
            <w:r w:rsidR="00190312">
              <w:rPr>
                <w:sz w:val="18"/>
                <w:lang w:eastAsia="en-US"/>
              </w:rPr>
              <w:t xml:space="preserve">e.g. </w:t>
            </w:r>
            <w:r>
              <w:rPr>
                <w:sz w:val="18"/>
                <w:lang w:eastAsia="en-US"/>
              </w:rPr>
              <w:t xml:space="preserve">base on BFD/RLM configuration), </w:t>
            </w:r>
            <w:r w:rsidR="003E000B">
              <w:rPr>
                <w:sz w:val="18"/>
                <w:lang w:eastAsia="en-US"/>
              </w:rPr>
              <w:t>so the resources not associated with</w:t>
            </w:r>
            <w:r w:rsidR="00190312">
              <w:rPr>
                <w:sz w:val="18"/>
                <w:lang w:eastAsia="en-US"/>
              </w:rPr>
              <w:t xml:space="preserve"> the</w:t>
            </w:r>
            <w:r w:rsidR="003E000B">
              <w:rPr>
                <w:sz w:val="18"/>
                <w:lang w:eastAsia="en-US"/>
              </w:rPr>
              <w:t xml:space="preserve"> best </w:t>
            </w:r>
            <w:r>
              <w:rPr>
                <w:sz w:val="18"/>
                <w:lang w:eastAsia="en-US"/>
              </w:rPr>
              <w:t>beam may be wasted</w:t>
            </w:r>
            <w:r w:rsidRPr="0055675E">
              <w:rPr>
                <w:sz w:val="18"/>
                <w:lang w:eastAsia="en-US"/>
              </w:rPr>
              <w:t xml:space="preserve">. </w:t>
            </w:r>
          </w:p>
        </w:tc>
      </w:tr>
    </w:tbl>
    <w:p w14:paraId="5AFA19B7" w14:textId="77777777" w:rsidR="00D746C7" w:rsidRDefault="00D746C7" w:rsidP="00015639"/>
    <w:p w14:paraId="0074E717" w14:textId="241B512B" w:rsidR="006B6893" w:rsidRDefault="00CB3740" w:rsidP="00015639">
      <w:r>
        <w:t xml:space="preserve">Based on above table, </w:t>
      </w:r>
      <w:r w:rsidR="00C42078">
        <w:t>we prefer Alt</w:t>
      </w:r>
      <w:r w:rsidR="00190312">
        <w:t xml:space="preserve"> </w:t>
      </w:r>
      <w:r w:rsidR="00C42078">
        <w:t>2 because</w:t>
      </w:r>
      <w:r w:rsidR="00190312">
        <w:t xml:space="preserve"> it can </w:t>
      </w:r>
      <w:r w:rsidR="00C6531D">
        <w:t>meet the requirement with less specification effort</w:t>
      </w:r>
      <w:r w:rsidR="006B6893">
        <w:t>.</w:t>
      </w:r>
      <w:r w:rsidR="004251AD">
        <w:t xml:space="preserve"> From network </w:t>
      </w:r>
      <w:r w:rsidR="00BD261F">
        <w:t>perspective</w:t>
      </w:r>
      <w:r w:rsidR="004251AD">
        <w:t>, network can decide whether to provide UL grants based on multiple conditions. E.g. TAT is still on-going, and BFD failure or RLF is not declared. So we propose</w:t>
      </w:r>
      <w:r w:rsidR="004251AD">
        <w:rPr>
          <w:rFonts w:hint="eastAsia"/>
        </w:rPr>
        <w:t>:</w:t>
      </w:r>
    </w:p>
    <w:p w14:paraId="25C8FA4A" w14:textId="2ED22507" w:rsidR="006B6893" w:rsidRDefault="006B6893" w:rsidP="006B6893">
      <w:pPr>
        <w:ind w:left="1134" w:hanging="1134"/>
        <w:rPr>
          <w:b/>
        </w:rPr>
      </w:pPr>
      <w:r>
        <w:rPr>
          <w:b/>
        </w:rPr>
        <w:t>Proposal 5: For RACH-less SCG activation, network provides UL grants (associated with DL beams) and a RSRP threshold in SCG activation. If RSRP of a SSB is above the threshold</w:t>
      </w:r>
      <w:r w:rsidR="00C0537D">
        <w:rPr>
          <w:b/>
        </w:rPr>
        <w:t xml:space="preserve">, UE uses corresponding UL grant to transmit data; otherwise (no SSB fulfill the threshold), RACH is performed. </w:t>
      </w:r>
      <w:r>
        <w:rPr>
          <w:b/>
        </w:rPr>
        <w:t xml:space="preserve"> </w:t>
      </w:r>
    </w:p>
    <w:p w14:paraId="0DA6C61C" w14:textId="2AA2B562" w:rsidR="00015639" w:rsidRDefault="00595599"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Consideration on RRM</w:t>
      </w:r>
    </w:p>
    <w:p w14:paraId="7E28EEB8" w14:textId="77777777" w:rsidR="005F7B42" w:rsidRDefault="005F7B42" w:rsidP="00595599">
      <w:r>
        <w:t xml:space="preserve">Regarding SN configured RRM measurement, RAN2 agreed UE needs to perform the measurement even when SCG is deactivated. And the SN measurement report can be delivered to </w:t>
      </w:r>
      <w:r>
        <w:rPr>
          <w:rFonts w:hint="eastAsia"/>
        </w:rPr>
        <w:t>network</w:t>
      </w:r>
      <w:r>
        <w:t xml:space="preserve"> (SN) via SRB1. However, RAN2 haven’t concluded whether network can indicate the UE to stop certain configured RRM measurements while SCG is deactivated. </w:t>
      </w:r>
    </w:p>
    <w:p w14:paraId="3F153995" w14:textId="73D4C01E" w:rsidR="00595599" w:rsidRDefault="005F7B42" w:rsidP="005F7B42">
      <w:r>
        <w:t xml:space="preserve">In general, SN may configure </w:t>
      </w:r>
      <w:r w:rsidR="00297D42">
        <w:t xml:space="preserve">RRM </w:t>
      </w:r>
      <w:r>
        <w:t xml:space="preserve">measurements for following </w:t>
      </w:r>
      <w:r w:rsidR="009828A4">
        <w:t>reasons</w:t>
      </w:r>
      <w:r>
        <w:t>:</w:t>
      </w:r>
    </w:p>
    <w:p w14:paraId="42A82F6F" w14:textId="14D687F4" w:rsidR="00841A0B" w:rsidRDefault="00841A0B" w:rsidP="005F7B42">
      <w:pPr>
        <w:pStyle w:val="afffffff3"/>
        <w:numPr>
          <w:ilvl w:val="0"/>
          <w:numId w:val="33"/>
        </w:numPr>
      </w:pPr>
      <w:r>
        <w:t>A2 event: used to monitor whether to release SN;</w:t>
      </w:r>
    </w:p>
    <w:p w14:paraId="0C8BA0B3" w14:textId="423B6E4E" w:rsidR="005F7B42" w:rsidRDefault="005F7B42" w:rsidP="005F7B42">
      <w:pPr>
        <w:pStyle w:val="afffffff3"/>
        <w:numPr>
          <w:ilvl w:val="0"/>
          <w:numId w:val="33"/>
        </w:numPr>
      </w:pPr>
      <w:r>
        <w:t>A1 or A2 eve</w:t>
      </w:r>
      <w:r w:rsidR="00841A0B">
        <w:t>nt</w:t>
      </w:r>
      <w:r>
        <w:t>: used to monitor whether to disable</w:t>
      </w:r>
      <w:r w:rsidR="00841A0B">
        <w:t xml:space="preserve"> or enable</w:t>
      </w:r>
      <w:r>
        <w:t xml:space="preserve"> inter-frequency measurements; </w:t>
      </w:r>
    </w:p>
    <w:p w14:paraId="3904C0DA" w14:textId="557B406D" w:rsidR="005F7B42" w:rsidRDefault="005F7B42" w:rsidP="005F7B42">
      <w:pPr>
        <w:pStyle w:val="afffffff3"/>
        <w:numPr>
          <w:ilvl w:val="0"/>
          <w:numId w:val="33"/>
        </w:numPr>
      </w:pPr>
      <w:r>
        <w:lastRenderedPageBreak/>
        <w:t>Intra-frequency PSCell mobility (e.g. A3/A5 events).</w:t>
      </w:r>
    </w:p>
    <w:p w14:paraId="0667300F" w14:textId="6DA1D096" w:rsidR="005F7B42" w:rsidRDefault="005F7B42" w:rsidP="005F7B42">
      <w:pPr>
        <w:pStyle w:val="afffffff3"/>
        <w:numPr>
          <w:ilvl w:val="0"/>
          <w:numId w:val="33"/>
        </w:numPr>
      </w:pPr>
      <w:r>
        <w:t>Inter-frequency PSCell mobility (e.g. A3/A5 events).</w:t>
      </w:r>
    </w:p>
    <w:p w14:paraId="6FF8DB5F" w14:textId="51574AC0" w:rsidR="005F7B42" w:rsidRDefault="009828A4" w:rsidP="005F7B42">
      <w:pPr>
        <w:pStyle w:val="afffffff3"/>
        <w:numPr>
          <w:ilvl w:val="0"/>
          <w:numId w:val="33"/>
        </w:numPr>
      </w:pPr>
      <w:r>
        <w:t>SCell add/release (e.g. A4, A2 events);</w:t>
      </w:r>
    </w:p>
    <w:p w14:paraId="1CDB8A95" w14:textId="5B8F5BF6" w:rsidR="009828A4" w:rsidRDefault="009828A4" w:rsidP="005F7B42">
      <w:pPr>
        <w:pStyle w:val="afffffff3"/>
        <w:numPr>
          <w:ilvl w:val="0"/>
          <w:numId w:val="33"/>
        </w:numPr>
      </w:pPr>
      <w:r>
        <w:t>SCell change (e.g. A6 event);</w:t>
      </w:r>
    </w:p>
    <w:p w14:paraId="0A3D80ED" w14:textId="6F5257C9" w:rsidR="005F7B42" w:rsidRDefault="009828A4" w:rsidP="00595599">
      <w:pPr>
        <w:pStyle w:val="afffffff3"/>
        <w:numPr>
          <w:ilvl w:val="0"/>
          <w:numId w:val="33"/>
        </w:numPr>
      </w:pPr>
      <w:r>
        <w:t>Load balancing (e.g. A4 event).</w:t>
      </w:r>
    </w:p>
    <w:p w14:paraId="44FE9D00" w14:textId="4F23416E" w:rsidR="009828A4" w:rsidRDefault="009828A4" w:rsidP="00595599">
      <w:pPr>
        <w:pStyle w:val="afffffff3"/>
        <w:numPr>
          <w:ilvl w:val="0"/>
          <w:numId w:val="33"/>
        </w:numPr>
      </w:pPr>
      <w:r>
        <w:t>CGI-reporting;</w:t>
      </w:r>
    </w:p>
    <w:p w14:paraId="1692078F" w14:textId="3BFCA9DD" w:rsidR="009828A4" w:rsidRDefault="009828A4" w:rsidP="00595599">
      <w:pPr>
        <w:pStyle w:val="afffffff3"/>
        <w:numPr>
          <w:ilvl w:val="0"/>
          <w:numId w:val="33"/>
        </w:numPr>
      </w:pPr>
      <w:r>
        <w:t xml:space="preserve">… </w:t>
      </w:r>
    </w:p>
    <w:p w14:paraId="0FC7D322" w14:textId="65CFBC86" w:rsidR="00595599" w:rsidRDefault="00841A0B" w:rsidP="00595599">
      <w:r>
        <w:t xml:space="preserve">When SCG is deactivated, it is desirable to reduce RRM measurements in order to save UE’s power. However, as listed above, to ensure UE maintains a valid SN cell group (including both PSCell and SCG SCells), at least 1~6 might be needed (if SCell is configured). While 7 and 8 </w:t>
      </w:r>
      <w:r w:rsidR="00297D42">
        <w:t xml:space="preserve">are not necessarily needed. </w:t>
      </w:r>
      <w:r>
        <w:t xml:space="preserve">  </w:t>
      </w:r>
    </w:p>
    <w:p w14:paraId="234EFA3A" w14:textId="5F4AEC76" w:rsidR="00595599" w:rsidRDefault="005F7B42" w:rsidP="00595599">
      <w:pPr>
        <w:ind w:left="1418" w:hanging="1418"/>
      </w:pPr>
      <w:r>
        <w:rPr>
          <w:b/>
        </w:rPr>
        <w:t xml:space="preserve">Observation </w:t>
      </w:r>
      <w:r w:rsidR="00F7287A">
        <w:rPr>
          <w:b/>
        </w:rPr>
        <w:t>2</w:t>
      </w:r>
      <w:r w:rsidR="00595599">
        <w:rPr>
          <w:b/>
        </w:rPr>
        <w:t>: In general, mobility based measurements (for both PSCell and SCG SCell) need to be performed when SCG is deactivated</w:t>
      </w:r>
      <w:r>
        <w:rPr>
          <w:b/>
        </w:rPr>
        <w:t xml:space="preserve">. Other measurements can be </w:t>
      </w:r>
      <w:r w:rsidR="00297D42">
        <w:rPr>
          <w:b/>
        </w:rPr>
        <w:t>stopped</w:t>
      </w:r>
      <w:r>
        <w:rPr>
          <w:b/>
        </w:rPr>
        <w:t xml:space="preserve"> for power saving</w:t>
      </w:r>
      <w:r w:rsidR="00595599">
        <w:rPr>
          <w:rFonts w:hint="eastAsia"/>
          <w:b/>
        </w:rPr>
        <w:t>.</w:t>
      </w:r>
    </w:p>
    <w:p w14:paraId="7FFB881A" w14:textId="5552ACA0" w:rsidR="00595599" w:rsidRDefault="00297D42" w:rsidP="00595599">
      <w:r>
        <w:t xml:space="preserve">However, from UE’s perspective, UE is unaware of the purpose of each configured measID. So it is impossible for UE to decide </w:t>
      </w:r>
      <w:r w:rsidR="006651F5">
        <w:t>the importance of each measurement</w:t>
      </w:r>
      <w:r w:rsidR="0058350C">
        <w:t xml:space="preserve"> during SCG deactivation </w:t>
      </w:r>
      <w:r w:rsidR="006651F5">
        <w:t xml:space="preserve">state, thus UE can only perform all configured SN RRM measurements. </w:t>
      </w:r>
      <w:r w:rsidR="0058350C">
        <w:t xml:space="preserve"> </w:t>
      </w:r>
    </w:p>
    <w:p w14:paraId="62497968" w14:textId="10212D62" w:rsidR="00C7699D" w:rsidRDefault="0058350C" w:rsidP="00595599">
      <w:r>
        <w:t>Based on the discussion last meeting, companies think if SCG (de)activation indication is sent via RRC signalling, it is feasible for network to release some measurements in SCG deactivation RRC signalling, and add them back in SCG activation RRC signalling. Strictly speaking, this</w:t>
      </w:r>
      <w:r w:rsidR="00DA5CA3">
        <w:t xml:space="preserve"> makes sense. </w:t>
      </w:r>
      <w:r w:rsidR="006651F5">
        <w:t xml:space="preserve">However, if RAN2 agree that lower layer signalling (e.g. MAC CE) can be used to indicate SCG (de)activation, then we need to consider </w:t>
      </w:r>
      <w:r w:rsidR="00DA5CA3">
        <w:t>further optimization of SN RRM measurements. For instance, allow network</w:t>
      </w:r>
      <w:r w:rsidR="00C7699D">
        <w:t xml:space="preserve"> (SN)</w:t>
      </w:r>
      <w:r w:rsidR="00DA5CA3">
        <w:t xml:space="preserve"> to pre</w:t>
      </w:r>
      <w:r w:rsidR="00C7699D">
        <w:t>-</w:t>
      </w:r>
      <w:r w:rsidR="00DA5CA3">
        <w:t>configure which</w:t>
      </w:r>
      <w:r w:rsidR="00C7699D">
        <w:t xml:space="preserve"> measID(</w:t>
      </w:r>
      <w:r w:rsidR="00DA5CA3">
        <w:t>s</w:t>
      </w:r>
      <w:r w:rsidR="00C7699D">
        <w:t>)</w:t>
      </w:r>
      <w:r w:rsidR="00DA5CA3">
        <w:t xml:space="preserve"> need to be suspended while SCG is deactivated.</w:t>
      </w:r>
      <w:r w:rsidR="00C7699D">
        <w:t xml:space="preserve"> </w:t>
      </w:r>
    </w:p>
    <w:p w14:paraId="07F4F82F" w14:textId="75FBE98D" w:rsidR="002F366A" w:rsidRPr="00C7699D" w:rsidRDefault="002F366A" w:rsidP="002F366A">
      <w:pPr>
        <w:ind w:left="1134" w:hanging="1134"/>
        <w:rPr>
          <w:b/>
        </w:rPr>
      </w:pPr>
      <w:r>
        <w:rPr>
          <w:b/>
        </w:rPr>
        <w:t xml:space="preserve">Proposal </w:t>
      </w:r>
      <w:r w:rsidR="00F7287A">
        <w:rPr>
          <w:b/>
        </w:rPr>
        <w:t>6</w:t>
      </w:r>
      <w:r>
        <w:rPr>
          <w:b/>
        </w:rPr>
        <w:t xml:space="preserve">: Optimization </w:t>
      </w:r>
      <w:r w:rsidR="00CF0272">
        <w:rPr>
          <w:rFonts w:hint="eastAsia"/>
          <w:b/>
        </w:rPr>
        <w:t>of</w:t>
      </w:r>
      <w:r>
        <w:rPr>
          <w:b/>
        </w:rPr>
        <w:t xml:space="preserve"> SN configured RRM measurement is needed if </w:t>
      </w:r>
      <w:r w:rsidR="00FA2EE5">
        <w:rPr>
          <w:b/>
        </w:rPr>
        <w:t>RAN2 agrees to use</w:t>
      </w:r>
      <w:r w:rsidR="007B1886">
        <w:rPr>
          <w:b/>
        </w:rPr>
        <w:t xml:space="preserve"> </w:t>
      </w:r>
      <w:r>
        <w:rPr>
          <w:b/>
        </w:rPr>
        <w:t>lower layer signaling for SCG (de)activation</w:t>
      </w:r>
      <w:r>
        <w:rPr>
          <w:rFonts w:hint="eastAsia"/>
          <w:b/>
        </w:rPr>
        <w:t>.</w:t>
      </w:r>
    </w:p>
    <w:p w14:paraId="374AB540" w14:textId="2900669F" w:rsidR="00C7699D" w:rsidRDefault="00C414B0" w:rsidP="00595599">
      <w:r>
        <w:t xml:space="preserve">In addition, RAN2 had the following remaining issue:  </w:t>
      </w:r>
    </w:p>
    <w:p w14:paraId="30EDE45F" w14:textId="77777777" w:rsidR="00C414B0" w:rsidRPr="0021350C" w:rsidRDefault="00C414B0" w:rsidP="00C414B0">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6</w:t>
      </w:r>
      <w:r w:rsidRPr="0021350C">
        <w:rPr>
          <w:rFonts w:eastAsia="Times New Roman"/>
          <w:b/>
          <w:kern w:val="0"/>
          <w:szCs w:val="20"/>
          <w:lang w:val="en-GB" w:eastAsia="ja-JP"/>
        </w:rPr>
        <w:tab/>
        <w:t>Clarify the meaning of "the UE maintains DL sync while the SCG is deactivated" (e.g. whether that is a consequence of doing RRM measurements of the PSCell or something more is needed).</w:t>
      </w:r>
    </w:p>
    <w:p w14:paraId="36D119A9" w14:textId="34F1B32C" w:rsidR="00C414B0" w:rsidRDefault="00C414B0" w:rsidP="00595599">
      <w:r>
        <w:t xml:space="preserve">In </w:t>
      </w:r>
      <w:r w:rsidR="003102C7">
        <w:t>theory</w:t>
      </w:r>
      <w:r>
        <w:t xml:space="preserve">, the UE should always perform RRM measurement on PSCell, </w:t>
      </w:r>
      <w:r w:rsidR="003102C7">
        <w:t xml:space="preserve">in our understanding, such behaviour is sufficient for </w:t>
      </w:r>
      <w:r>
        <w:t>maintain</w:t>
      </w:r>
      <w:r w:rsidR="003102C7">
        <w:t>ing</w:t>
      </w:r>
      <w:r>
        <w:t xml:space="preserve"> the DL timing in SCG.</w:t>
      </w:r>
      <w:r w:rsidR="003102C7">
        <w:t xml:space="preserve"> So at least from RAN2 point of view, we see nothing more is needed. But on the other hand, whether UE can use large periodicity for PSCell measurement during SCG deactivation state, </w:t>
      </w:r>
      <w:r w:rsidR="007663A7">
        <w:t>can be further studied</w:t>
      </w:r>
      <w:r w:rsidR="003102C7">
        <w:t xml:space="preserve"> by RAN4.  </w:t>
      </w:r>
    </w:p>
    <w:p w14:paraId="0ED232A7" w14:textId="50F512E8" w:rsidR="00C414B0" w:rsidRPr="00447A3F" w:rsidRDefault="00447A3F" w:rsidP="00447A3F">
      <w:pPr>
        <w:ind w:left="1134" w:hanging="1134"/>
        <w:rPr>
          <w:b/>
        </w:rPr>
      </w:pPr>
      <w:r>
        <w:rPr>
          <w:b/>
        </w:rPr>
        <w:t xml:space="preserve">Proposal </w:t>
      </w:r>
      <w:r w:rsidR="00F7287A">
        <w:rPr>
          <w:b/>
        </w:rPr>
        <w:t>7</w:t>
      </w:r>
      <w:r>
        <w:rPr>
          <w:b/>
        </w:rPr>
        <w:t>: RAN2 understand UE maintains DL sync based on the RRM measurements of PSCell. The measurement period of PSCell measurement during SCG deactivation state is up to RAN4</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01393FF7" w14:textId="77777777" w:rsidR="00F7287A" w:rsidRDefault="00F7287A" w:rsidP="00F7287A">
      <w:pPr>
        <w:ind w:left="1418" w:hanging="1418"/>
      </w:pPr>
      <w:bookmarkStart w:id="3" w:name="_Toc535476034"/>
      <w:r>
        <w:rPr>
          <w:b/>
        </w:rPr>
        <w:t>Observation 1: To support RACH-less SCG activation, at least TA should be valid, and network knows the best DL beams so that UE can be successfully scheduled</w:t>
      </w:r>
      <w:r>
        <w:rPr>
          <w:rFonts w:hint="eastAsia"/>
          <w:b/>
        </w:rPr>
        <w:t>.</w:t>
      </w:r>
    </w:p>
    <w:p w14:paraId="36EB5DFB" w14:textId="77777777" w:rsidR="00F7287A" w:rsidRDefault="00F7287A" w:rsidP="00F7287A">
      <w:pPr>
        <w:ind w:left="1418" w:hanging="1418"/>
      </w:pPr>
      <w:r>
        <w:rPr>
          <w:b/>
        </w:rPr>
        <w:lastRenderedPageBreak/>
        <w:t>Observation 2: In general, mobility based measurements (for both PSCell and SCG SCell) need to be performed when SCG is deactivated. Other measurements can be stopped for power saving</w:t>
      </w:r>
      <w:r>
        <w:rPr>
          <w:rFonts w:hint="eastAsia"/>
          <w:b/>
        </w:rPr>
        <w:t>.</w:t>
      </w:r>
    </w:p>
    <w:p w14:paraId="684B6A64" w14:textId="77777777" w:rsidR="00F7287A" w:rsidRDefault="00F7287A" w:rsidP="00F7287A">
      <w:r>
        <w:rPr>
          <w:b/>
        </w:rPr>
        <w:t xml:space="preserve">Proposal 1: UE keeps TA timer running when entering SCG deactivation. </w:t>
      </w:r>
    </w:p>
    <w:p w14:paraId="7289F146" w14:textId="77777777" w:rsidR="00F7287A" w:rsidRDefault="00F7287A" w:rsidP="00F7287A">
      <w:pPr>
        <w:ind w:left="1134" w:hanging="1134"/>
        <w:rPr>
          <w:b/>
        </w:rPr>
      </w:pPr>
      <w:r>
        <w:rPr>
          <w:b/>
        </w:rPr>
        <w:t>Proposal 2: UE performs BFD and RLM when enters SCG deactivation. UE stops BFD and RLM when TA timer expires, and UE stops TA timer when BFD failure or RLF is declared.</w:t>
      </w:r>
    </w:p>
    <w:p w14:paraId="031ABEBE" w14:textId="77777777" w:rsidR="00F7287A" w:rsidRDefault="00F7287A" w:rsidP="00F7287A">
      <w:pPr>
        <w:ind w:left="1134" w:hanging="1134"/>
        <w:rPr>
          <w:b/>
        </w:rPr>
      </w:pPr>
      <w:r>
        <w:rPr>
          <w:b/>
        </w:rPr>
        <w:t>Proposal 3: When RLF is declared while SCG is deactivated, UE transmits SCGFailureInformation to SN via MCG (follow legacy behaviour)</w:t>
      </w:r>
      <w:r>
        <w:rPr>
          <w:rFonts w:hint="eastAsia"/>
          <w:b/>
        </w:rPr>
        <w:t>.</w:t>
      </w:r>
    </w:p>
    <w:p w14:paraId="34142371" w14:textId="77777777" w:rsidR="00F7287A" w:rsidRDefault="00F7287A" w:rsidP="00F7287A">
      <w:pPr>
        <w:ind w:left="1134" w:hanging="1134"/>
        <w:rPr>
          <w:b/>
        </w:rPr>
      </w:pPr>
      <w:r>
        <w:rPr>
          <w:b/>
        </w:rPr>
        <w:t>Proposal 4: When BFD failure is declared while SCG is deactivated, UE sends indication to SN via MCG (FFS on which message is used)</w:t>
      </w:r>
      <w:r>
        <w:rPr>
          <w:rFonts w:hint="eastAsia"/>
          <w:b/>
        </w:rPr>
        <w:t>.</w:t>
      </w:r>
    </w:p>
    <w:p w14:paraId="3B2FA65B" w14:textId="77777777" w:rsidR="00F7287A" w:rsidRDefault="00F7287A" w:rsidP="00F7287A">
      <w:pPr>
        <w:ind w:left="1134" w:hanging="1134"/>
        <w:rPr>
          <w:b/>
        </w:rPr>
      </w:pPr>
      <w:r>
        <w:rPr>
          <w:b/>
        </w:rPr>
        <w:t xml:space="preserve">Proposal 5: For RACH-less SCG activation, network provides UL grants (associated with DL beams) and a RSRP threshold in SCG activation. If RSRP of a SSB is above the threshold, UE uses corresponding UL grant to transmit data; otherwise (no SSB fulfill the threshold), RACH is performed.  </w:t>
      </w:r>
    </w:p>
    <w:p w14:paraId="18F11187" w14:textId="77777777" w:rsidR="00CF0272" w:rsidRPr="00C7699D" w:rsidRDefault="00CF0272" w:rsidP="00CF0272">
      <w:pPr>
        <w:ind w:left="1134" w:hanging="1134"/>
        <w:rPr>
          <w:b/>
        </w:rPr>
      </w:pPr>
      <w:r>
        <w:rPr>
          <w:b/>
        </w:rPr>
        <w:t xml:space="preserve">Proposal 6: Optimization </w:t>
      </w:r>
      <w:r>
        <w:rPr>
          <w:rFonts w:hint="eastAsia"/>
          <w:b/>
        </w:rPr>
        <w:t>of</w:t>
      </w:r>
      <w:r>
        <w:rPr>
          <w:b/>
        </w:rPr>
        <w:t xml:space="preserve"> SN configured RRM measurement is needed if RAN2 agrees to use lower layer signaling for SCG (de)activation</w:t>
      </w:r>
      <w:r>
        <w:rPr>
          <w:rFonts w:hint="eastAsia"/>
          <w:b/>
        </w:rPr>
        <w:t>.</w:t>
      </w:r>
    </w:p>
    <w:p w14:paraId="552E3565" w14:textId="77777777" w:rsidR="00F7287A" w:rsidRPr="00447A3F" w:rsidRDefault="00F7287A" w:rsidP="00F7287A">
      <w:pPr>
        <w:ind w:left="1134" w:hanging="1134"/>
        <w:rPr>
          <w:b/>
        </w:rPr>
      </w:pPr>
      <w:r>
        <w:rPr>
          <w:b/>
        </w:rPr>
        <w:t>Proposal 7: RAN2 understand UE maintains DL sync based on the RRM measurements of PSCell. The measurement period of PSCell measurement during SCG deactivation state is up to RAN4</w:t>
      </w:r>
      <w:r>
        <w:rPr>
          <w:rFonts w:hint="eastAsia"/>
          <w:b/>
        </w:rPr>
        <w:t>.</w:t>
      </w:r>
    </w:p>
    <w:bookmarkEnd w:id="3"/>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5083B40" w14:textId="7B15631B" w:rsidR="00E84692" w:rsidRPr="00156072" w:rsidRDefault="00F7287A" w:rsidP="00156072">
      <w:pPr>
        <w:spacing w:before="156"/>
      </w:pPr>
      <w:r>
        <w:t xml:space="preserve">[1] </w:t>
      </w:r>
      <w:r w:rsidRPr="00F7287A">
        <w:t>[Post114-e][231][R17 DCCA] SCG (de)activation options (Huawei)</w:t>
      </w:r>
    </w:p>
    <w:sectPr w:rsidR="00E84692" w:rsidRPr="00156072"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719F3" w14:textId="77777777" w:rsidR="00C245A6" w:rsidRDefault="00C245A6">
      <w:pPr>
        <w:spacing w:after="0"/>
      </w:pPr>
      <w:r>
        <w:separator/>
      </w:r>
    </w:p>
  </w:endnote>
  <w:endnote w:type="continuationSeparator" w:id="0">
    <w:p w14:paraId="0D28EE1C" w14:textId="77777777" w:rsidR="00C245A6" w:rsidRDefault="00C245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46C9F" w14:textId="77777777" w:rsidR="00C245A6" w:rsidRDefault="00C245A6">
      <w:pPr>
        <w:spacing w:after="0"/>
      </w:pPr>
      <w:r>
        <w:separator/>
      </w:r>
    </w:p>
  </w:footnote>
  <w:footnote w:type="continuationSeparator" w:id="0">
    <w:p w14:paraId="3E4C6016" w14:textId="77777777" w:rsidR="00C245A6" w:rsidRDefault="00C245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15557FE"/>
    <w:multiLevelType w:val="hybridMultilevel"/>
    <w:tmpl w:val="7C400808"/>
    <w:lvl w:ilvl="0" w:tplc="B1162C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4">
    <w:nsid w:val="02A63EDB"/>
    <w:multiLevelType w:val="hybridMultilevel"/>
    <w:tmpl w:val="2924909E"/>
    <w:lvl w:ilvl="0" w:tplc="7EAAC602">
      <w:start w:val="1"/>
      <w:numFmt w:val="bullet"/>
      <w:lvlText w:val="-"/>
      <w:lvlJc w:val="left"/>
      <w:pPr>
        <w:ind w:left="1713" w:hanging="360"/>
      </w:pPr>
      <w:rPr>
        <w:rFonts w:ascii="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nsid w:val="02B87A23"/>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4C30C0"/>
    <w:multiLevelType w:val="hybridMultilevel"/>
    <w:tmpl w:val="DD22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0AFF043E"/>
    <w:multiLevelType w:val="hybridMultilevel"/>
    <w:tmpl w:val="A4A85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nsid w:val="0E1B5AE9"/>
    <w:multiLevelType w:val="hybridMultilevel"/>
    <w:tmpl w:val="E5F0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1C7545"/>
    <w:multiLevelType w:val="hybridMultilevel"/>
    <w:tmpl w:val="F2289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3317C2"/>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CE1FF1"/>
    <w:multiLevelType w:val="hybridMultilevel"/>
    <w:tmpl w:val="45AE80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A7E7E3D"/>
    <w:multiLevelType w:val="hybridMultilevel"/>
    <w:tmpl w:val="6B263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67373F"/>
    <w:multiLevelType w:val="hybridMultilevel"/>
    <w:tmpl w:val="6E924A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870971"/>
    <w:multiLevelType w:val="hybridMultilevel"/>
    <w:tmpl w:val="E180AB92"/>
    <w:lvl w:ilvl="0" w:tplc="04090005">
      <w:start w:val="1"/>
      <w:numFmt w:val="bullet"/>
      <w:lvlText w:val=""/>
      <w:lvlJc w:val="left"/>
      <w:pPr>
        <w:ind w:left="2097" w:hanging="360"/>
      </w:pPr>
      <w:rPr>
        <w:rFonts w:ascii="Wingdings" w:hAnsi="Wingdings" w:hint="default"/>
      </w:rPr>
    </w:lvl>
    <w:lvl w:ilvl="1" w:tplc="04090003" w:tentative="1">
      <w:start w:val="1"/>
      <w:numFmt w:val="bullet"/>
      <w:lvlText w:val="o"/>
      <w:lvlJc w:val="left"/>
      <w:pPr>
        <w:ind w:left="2817" w:hanging="360"/>
      </w:pPr>
      <w:rPr>
        <w:rFonts w:ascii="Courier New" w:hAnsi="Courier New" w:cs="Courier New" w:hint="default"/>
      </w:rPr>
    </w:lvl>
    <w:lvl w:ilvl="2" w:tplc="04090005" w:tentative="1">
      <w:start w:val="1"/>
      <w:numFmt w:val="bullet"/>
      <w:lvlText w:val=""/>
      <w:lvlJc w:val="left"/>
      <w:pPr>
        <w:ind w:left="3537" w:hanging="360"/>
      </w:pPr>
      <w:rPr>
        <w:rFonts w:ascii="Wingdings" w:hAnsi="Wingdings" w:hint="default"/>
      </w:rPr>
    </w:lvl>
    <w:lvl w:ilvl="3" w:tplc="04090001" w:tentative="1">
      <w:start w:val="1"/>
      <w:numFmt w:val="bullet"/>
      <w:lvlText w:val=""/>
      <w:lvlJc w:val="left"/>
      <w:pPr>
        <w:ind w:left="4257" w:hanging="360"/>
      </w:pPr>
      <w:rPr>
        <w:rFonts w:ascii="Symbol" w:hAnsi="Symbol" w:hint="default"/>
      </w:rPr>
    </w:lvl>
    <w:lvl w:ilvl="4" w:tplc="04090003" w:tentative="1">
      <w:start w:val="1"/>
      <w:numFmt w:val="bullet"/>
      <w:lvlText w:val="o"/>
      <w:lvlJc w:val="left"/>
      <w:pPr>
        <w:ind w:left="4977" w:hanging="360"/>
      </w:pPr>
      <w:rPr>
        <w:rFonts w:ascii="Courier New" w:hAnsi="Courier New" w:cs="Courier New" w:hint="default"/>
      </w:rPr>
    </w:lvl>
    <w:lvl w:ilvl="5" w:tplc="04090005" w:tentative="1">
      <w:start w:val="1"/>
      <w:numFmt w:val="bullet"/>
      <w:lvlText w:val=""/>
      <w:lvlJc w:val="left"/>
      <w:pPr>
        <w:ind w:left="5697" w:hanging="360"/>
      </w:pPr>
      <w:rPr>
        <w:rFonts w:ascii="Wingdings" w:hAnsi="Wingdings" w:hint="default"/>
      </w:rPr>
    </w:lvl>
    <w:lvl w:ilvl="6" w:tplc="04090001" w:tentative="1">
      <w:start w:val="1"/>
      <w:numFmt w:val="bullet"/>
      <w:lvlText w:val=""/>
      <w:lvlJc w:val="left"/>
      <w:pPr>
        <w:ind w:left="6417" w:hanging="360"/>
      </w:pPr>
      <w:rPr>
        <w:rFonts w:ascii="Symbol" w:hAnsi="Symbol" w:hint="default"/>
      </w:rPr>
    </w:lvl>
    <w:lvl w:ilvl="7" w:tplc="04090003" w:tentative="1">
      <w:start w:val="1"/>
      <w:numFmt w:val="bullet"/>
      <w:lvlText w:val="o"/>
      <w:lvlJc w:val="left"/>
      <w:pPr>
        <w:ind w:left="7137" w:hanging="360"/>
      </w:pPr>
      <w:rPr>
        <w:rFonts w:ascii="Courier New" w:hAnsi="Courier New" w:cs="Courier New" w:hint="default"/>
      </w:rPr>
    </w:lvl>
    <w:lvl w:ilvl="8" w:tplc="04090005" w:tentative="1">
      <w:start w:val="1"/>
      <w:numFmt w:val="bullet"/>
      <w:lvlText w:val=""/>
      <w:lvlJc w:val="left"/>
      <w:pPr>
        <w:ind w:left="7857" w:hanging="360"/>
      </w:pPr>
      <w:rPr>
        <w:rFonts w:ascii="Wingdings" w:hAnsi="Wingdings" w:hint="default"/>
      </w:rPr>
    </w:lvl>
  </w:abstractNum>
  <w:abstractNum w:abstractNumId="20">
    <w:nsid w:val="1F0A7E37"/>
    <w:multiLevelType w:val="hybridMultilevel"/>
    <w:tmpl w:val="D23E4C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ADA36E7"/>
    <w:multiLevelType w:val="hybridMultilevel"/>
    <w:tmpl w:val="16727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D98520D"/>
    <w:multiLevelType w:val="hybridMultilevel"/>
    <w:tmpl w:val="EAD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FBE47D7"/>
    <w:multiLevelType w:val="hybridMultilevel"/>
    <w:tmpl w:val="B3C064D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6">
    <w:nsid w:val="326B7766"/>
    <w:multiLevelType w:val="hybridMultilevel"/>
    <w:tmpl w:val="3884806C"/>
    <w:lvl w:ilvl="0" w:tplc="1F2AE56E">
      <w:numFmt w:val="bullet"/>
      <w:lvlText w:val="•"/>
      <w:lvlJc w:val="left"/>
      <w:pPr>
        <w:ind w:left="1500" w:hanging="114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64120D4"/>
    <w:multiLevelType w:val="hybridMultilevel"/>
    <w:tmpl w:val="D95A0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6632DC9"/>
    <w:multiLevelType w:val="hybridMultilevel"/>
    <w:tmpl w:val="31CCB4A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81112A8"/>
    <w:multiLevelType w:val="hybridMultilevel"/>
    <w:tmpl w:val="E75C37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DF6D35"/>
    <w:multiLevelType w:val="hybridMultilevel"/>
    <w:tmpl w:val="C6C27964"/>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1">
    <w:nsid w:val="4A206653"/>
    <w:multiLevelType w:val="hybridMultilevel"/>
    <w:tmpl w:val="D21AD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nsid w:val="4E9C05E9"/>
    <w:multiLevelType w:val="hybridMultilevel"/>
    <w:tmpl w:val="F78A2FCE"/>
    <w:lvl w:ilvl="0" w:tplc="9B884C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5430724C"/>
    <w:multiLevelType w:val="hybridMultilevel"/>
    <w:tmpl w:val="3F0A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C00E0E"/>
    <w:multiLevelType w:val="hybridMultilevel"/>
    <w:tmpl w:val="E64EF3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92B0ED3"/>
    <w:multiLevelType w:val="hybridMultilevel"/>
    <w:tmpl w:val="BAAA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DF66749"/>
    <w:multiLevelType w:val="hybridMultilevel"/>
    <w:tmpl w:val="41B41C0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1096BBA"/>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622E4B25"/>
    <w:multiLevelType w:val="hybridMultilevel"/>
    <w:tmpl w:val="2B1E9A6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4">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286521F"/>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C603064"/>
    <w:multiLevelType w:val="hybridMultilevel"/>
    <w:tmpl w:val="79F64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4"/>
  </w:num>
  <w:num w:numId="3">
    <w:abstractNumId w:val="47"/>
  </w:num>
  <w:num w:numId="4">
    <w:abstractNumId w:val="32"/>
  </w:num>
  <w:num w:numId="5">
    <w:abstractNumId w:val="8"/>
  </w:num>
  <w:num w:numId="6">
    <w:abstractNumId w:val="21"/>
  </w:num>
  <w:num w:numId="7">
    <w:abstractNumId w:val="9"/>
  </w:num>
  <w:num w:numId="8">
    <w:abstractNumId w:val="43"/>
  </w:num>
  <w:num w:numId="9">
    <w:abstractNumId w:val="23"/>
  </w:num>
  <w:num w:numId="10">
    <w:abstractNumId w:val="14"/>
  </w:num>
  <w:num w:numId="11">
    <w:abstractNumId w:val="0"/>
  </w:num>
  <w:num w:numId="12">
    <w:abstractNumId w:val="35"/>
  </w:num>
  <w:num w:numId="13">
    <w:abstractNumId w:val="11"/>
  </w:num>
  <w:num w:numId="14">
    <w:abstractNumId w:val="3"/>
  </w:num>
  <w:num w:numId="15">
    <w:abstractNumId w:val="7"/>
  </w:num>
  <w:num w:numId="16">
    <w:abstractNumId w:val="33"/>
  </w:num>
  <w:num w:numId="17">
    <w:abstractNumId w:val="44"/>
  </w:num>
  <w:num w:numId="18">
    <w:abstractNumId w:val="36"/>
  </w:num>
  <w:num w:numId="19">
    <w:abstractNumId w:val="24"/>
  </w:num>
  <w:num w:numId="20">
    <w:abstractNumId w:val="45"/>
  </w:num>
  <w:num w:numId="21">
    <w:abstractNumId w:val="6"/>
  </w:num>
  <w:num w:numId="22">
    <w:abstractNumId w:val="10"/>
  </w:num>
  <w:num w:numId="23">
    <w:abstractNumId w:val="37"/>
  </w:num>
  <w:num w:numId="24">
    <w:abstractNumId w:val="20"/>
  </w:num>
  <w:num w:numId="25">
    <w:abstractNumId w:val="16"/>
  </w:num>
  <w:num w:numId="26">
    <w:abstractNumId w:val="30"/>
  </w:num>
  <w:num w:numId="27">
    <w:abstractNumId w:val="18"/>
  </w:num>
  <w:num w:numId="28">
    <w:abstractNumId w:val="29"/>
  </w:num>
  <w:num w:numId="29">
    <w:abstractNumId w:val="19"/>
  </w:num>
  <w:num w:numId="30">
    <w:abstractNumId w:val="41"/>
  </w:num>
  <w:num w:numId="31">
    <w:abstractNumId w:val="38"/>
  </w:num>
  <w:num w:numId="32">
    <w:abstractNumId w:val="31"/>
  </w:num>
  <w:num w:numId="33">
    <w:abstractNumId w:val="22"/>
  </w:num>
  <w:num w:numId="34">
    <w:abstractNumId w:val="12"/>
  </w:num>
  <w:num w:numId="35">
    <w:abstractNumId w:val="25"/>
  </w:num>
  <w:num w:numId="36">
    <w:abstractNumId w:val="42"/>
  </w:num>
  <w:num w:numId="37">
    <w:abstractNumId w:val="26"/>
  </w:num>
  <w:num w:numId="38">
    <w:abstractNumId w:val="2"/>
  </w:num>
  <w:num w:numId="39">
    <w:abstractNumId w:val="17"/>
  </w:num>
  <w:num w:numId="40">
    <w:abstractNumId w:val="28"/>
  </w:num>
  <w:num w:numId="41">
    <w:abstractNumId w:val="39"/>
  </w:num>
  <w:num w:numId="42">
    <w:abstractNumId w:val="4"/>
  </w:num>
  <w:num w:numId="43">
    <w:abstractNumId w:val="27"/>
  </w:num>
  <w:num w:numId="44">
    <w:abstractNumId w:val="13"/>
  </w:num>
  <w:num w:numId="45">
    <w:abstractNumId w:val="15"/>
  </w:num>
  <w:num w:numId="46">
    <w:abstractNumId w:val="48"/>
  </w:num>
  <w:num w:numId="47">
    <w:abstractNumId w:val="46"/>
  </w:num>
  <w:num w:numId="48">
    <w:abstractNumId w:val="5"/>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3"/>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7F63"/>
    <w:rsid w:val="000103E7"/>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18C5"/>
    <w:rsid w:val="000D1EF9"/>
    <w:rsid w:val="000D2BF9"/>
    <w:rsid w:val="000D370A"/>
    <w:rsid w:val="000D3944"/>
    <w:rsid w:val="000D40A5"/>
    <w:rsid w:val="000D59AA"/>
    <w:rsid w:val="000D60F5"/>
    <w:rsid w:val="000D722D"/>
    <w:rsid w:val="000E1125"/>
    <w:rsid w:val="000E1940"/>
    <w:rsid w:val="000E1993"/>
    <w:rsid w:val="000E3141"/>
    <w:rsid w:val="000E3B8A"/>
    <w:rsid w:val="000E4C9C"/>
    <w:rsid w:val="000E5EFE"/>
    <w:rsid w:val="000E6AE2"/>
    <w:rsid w:val="000E6F57"/>
    <w:rsid w:val="000E719D"/>
    <w:rsid w:val="000F0A7B"/>
    <w:rsid w:val="000F3B7E"/>
    <w:rsid w:val="000F451B"/>
    <w:rsid w:val="000F589E"/>
    <w:rsid w:val="000F7D5B"/>
    <w:rsid w:val="00100030"/>
    <w:rsid w:val="00102686"/>
    <w:rsid w:val="0010484A"/>
    <w:rsid w:val="00104C1F"/>
    <w:rsid w:val="00106BB7"/>
    <w:rsid w:val="00111C96"/>
    <w:rsid w:val="00111CE0"/>
    <w:rsid w:val="00111DF0"/>
    <w:rsid w:val="001135C5"/>
    <w:rsid w:val="001147C0"/>
    <w:rsid w:val="00114AAE"/>
    <w:rsid w:val="00121FD8"/>
    <w:rsid w:val="001253A3"/>
    <w:rsid w:val="00126145"/>
    <w:rsid w:val="0012673B"/>
    <w:rsid w:val="001277F8"/>
    <w:rsid w:val="00131F7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109"/>
    <w:rsid w:val="00155054"/>
    <w:rsid w:val="00156072"/>
    <w:rsid w:val="0015657D"/>
    <w:rsid w:val="00160A40"/>
    <w:rsid w:val="00160DA4"/>
    <w:rsid w:val="001627D9"/>
    <w:rsid w:val="0016373F"/>
    <w:rsid w:val="00163C8F"/>
    <w:rsid w:val="00164CA7"/>
    <w:rsid w:val="00171EEF"/>
    <w:rsid w:val="00171FF9"/>
    <w:rsid w:val="0017245C"/>
    <w:rsid w:val="00172A27"/>
    <w:rsid w:val="00172AF8"/>
    <w:rsid w:val="00173A68"/>
    <w:rsid w:val="0017587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30BE"/>
    <w:rsid w:val="0019400F"/>
    <w:rsid w:val="00194210"/>
    <w:rsid w:val="0019547D"/>
    <w:rsid w:val="00195E1F"/>
    <w:rsid w:val="00196645"/>
    <w:rsid w:val="00197997"/>
    <w:rsid w:val="001A0C8F"/>
    <w:rsid w:val="001A36A8"/>
    <w:rsid w:val="001A36F7"/>
    <w:rsid w:val="001A384E"/>
    <w:rsid w:val="001A3C20"/>
    <w:rsid w:val="001A4015"/>
    <w:rsid w:val="001A6AFD"/>
    <w:rsid w:val="001A6EDC"/>
    <w:rsid w:val="001B1565"/>
    <w:rsid w:val="001B21A1"/>
    <w:rsid w:val="001B337C"/>
    <w:rsid w:val="001B5AE5"/>
    <w:rsid w:val="001B7027"/>
    <w:rsid w:val="001B7C67"/>
    <w:rsid w:val="001C0CED"/>
    <w:rsid w:val="001C1105"/>
    <w:rsid w:val="001C16DD"/>
    <w:rsid w:val="001C17C6"/>
    <w:rsid w:val="001C18D3"/>
    <w:rsid w:val="001C22DE"/>
    <w:rsid w:val="001C27C7"/>
    <w:rsid w:val="001C3C4C"/>
    <w:rsid w:val="001C6C19"/>
    <w:rsid w:val="001C7B80"/>
    <w:rsid w:val="001D18C3"/>
    <w:rsid w:val="001D2914"/>
    <w:rsid w:val="001D2FB0"/>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731F"/>
    <w:rsid w:val="00270A1C"/>
    <w:rsid w:val="00271ED8"/>
    <w:rsid w:val="00271FEE"/>
    <w:rsid w:val="00272572"/>
    <w:rsid w:val="002730ED"/>
    <w:rsid w:val="0027451C"/>
    <w:rsid w:val="00275021"/>
    <w:rsid w:val="002754A9"/>
    <w:rsid w:val="00275BC1"/>
    <w:rsid w:val="0027635A"/>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B038E"/>
    <w:rsid w:val="002B136A"/>
    <w:rsid w:val="002B1601"/>
    <w:rsid w:val="002B1638"/>
    <w:rsid w:val="002B24A3"/>
    <w:rsid w:val="002B2BBC"/>
    <w:rsid w:val="002B351B"/>
    <w:rsid w:val="002B3C48"/>
    <w:rsid w:val="002B434C"/>
    <w:rsid w:val="002B446A"/>
    <w:rsid w:val="002B4F1D"/>
    <w:rsid w:val="002B67DD"/>
    <w:rsid w:val="002B7014"/>
    <w:rsid w:val="002C0864"/>
    <w:rsid w:val="002C0F12"/>
    <w:rsid w:val="002C22F5"/>
    <w:rsid w:val="002C4649"/>
    <w:rsid w:val="002C5377"/>
    <w:rsid w:val="002C5F90"/>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2B6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F31"/>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23EC"/>
    <w:rsid w:val="003C3E62"/>
    <w:rsid w:val="003C4558"/>
    <w:rsid w:val="003D01E0"/>
    <w:rsid w:val="003D03EC"/>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2192"/>
    <w:rsid w:val="00413229"/>
    <w:rsid w:val="00414305"/>
    <w:rsid w:val="00421BC3"/>
    <w:rsid w:val="004228A3"/>
    <w:rsid w:val="004229AC"/>
    <w:rsid w:val="00423D3B"/>
    <w:rsid w:val="00424172"/>
    <w:rsid w:val="004245A3"/>
    <w:rsid w:val="00424A48"/>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DD1"/>
    <w:rsid w:val="00452EEF"/>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767D"/>
    <w:rsid w:val="0049176F"/>
    <w:rsid w:val="00492EA5"/>
    <w:rsid w:val="004931C8"/>
    <w:rsid w:val="00493247"/>
    <w:rsid w:val="0049511A"/>
    <w:rsid w:val="004A0053"/>
    <w:rsid w:val="004A0BD2"/>
    <w:rsid w:val="004A2687"/>
    <w:rsid w:val="004A402F"/>
    <w:rsid w:val="004A6761"/>
    <w:rsid w:val="004A7A61"/>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AA1"/>
    <w:rsid w:val="00562B8C"/>
    <w:rsid w:val="00562C69"/>
    <w:rsid w:val="00563198"/>
    <w:rsid w:val="0056359C"/>
    <w:rsid w:val="00564098"/>
    <w:rsid w:val="0056474E"/>
    <w:rsid w:val="005657FC"/>
    <w:rsid w:val="00565A8B"/>
    <w:rsid w:val="00565F24"/>
    <w:rsid w:val="00567054"/>
    <w:rsid w:val="00567294"/>
    <w:rsid w:val="00567A9A"/>
    <w:rsid w:val="00570240"/>
    <w:rsid w:val="00570FEC"/>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5599"/>
    <w:rsid w:val="0059566C"/>
    <w:rsid w:val="00595711"/>
    <w:rsid w:val="0059585E"/>
    <w:rsid w:val="005A3156"/>
    <w:rsid w:val="005A53DF"/>
    <w:rsid w:val="005A6185"/>
    <w:rsid w:val="005B052E"/>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6171"/>
    <w:rsid w:val="00616DFB"/>
    <w:rsid w:val="00617630"/>
    <w:rsid w:val="00617B27"/>
    <w:rsid w:val="00620346"/>
    <w:rsid w:val="0062074A"/>
    <w:rsid w:val="00622516"/>
    <w:rsid w:val="00622C68"/>
    <w:rsid w:val="00623125"/>
    <w:rsid w:val="0062321A"/>
    <w:rsid w:val="006241EE"/>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B7"/>
    <w:rsid w:val="00672632"/>
    <w:rsid w:val="00673154"/>
    <w:rsid w:val="00673A1F"/>
    <w:rsid w:val="006746B2"/>
    <w:rsid w:val="0067540D"/>
    <w:rsid w:val="00675BE4"/>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B6893"/>
    <w:rsid w:val="006C200E"/>
    <w:rsid w:val="006C2D21"/>
    <w:rsid w:val="006C60A2"/>
    <w:rsid w:val="006C6193"/>
    <w:rsid w:val="006C6DC4"/>
    <w:rsid w:val="006C7CC7"/>
    <w:rsid w:val="006D2426"/>
    <w:rsid w:val="006D3223"/>
    <w:rsid w:val="006D397C"/>
    <w:rsid w:val="006D4BBE"/>
    <w:rsid w:val="006D5430"/>
    <w:rsid w:val="006D63EF"/>
    <w:rsid w:val="006D71AC"/>
    <w:rsid w:val="006D7BBB"/>
    <w:rsid w:val="006D7CA8"/>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65BE"/>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502E"/>
    <w:rsid w:val="00745C1D"/>
    <w:rsid w:val="007476C9"/>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51F0"/>
    <w:rsid w:val="00765D32"/>
    <w:rsid w:val="007663A7"/>
    <w:rsid w:val="007705A1"/>
    <w:rsid w:val="00770F43"/>
    <w:rsid w:val="00771468"/>
    <w:rsid w:val="007719AC"/>
    <w:rsid w:val="0077202D"/>
    <w:rsid w:val="00772393"/>
    <w:rsid w:val="00773686"/>
    <w:rsid w:val="00776AD0"/>
    <w:rsid w:val="00782F79"/>
    <w:rsid w:val="007832D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E0E51"/>
    <w:rsid w:val="007E0F24"/>
    <w:rsid w:val="007E17B1"/>
    <w:rsid w:val="007E242F"/>
    <w:rsid w:val="007E27C0"/>
    <w:rsid w:val="007E3C82"/>
    <w:rsid w:val="007E4716"/>
    <w:rsid w:val="007E6E32"/>
    <w:rsid w:val="007E7487"/>
    <w:rsid w:val="007E771D"/>
    <w:rsid w:val="007F1C7B"/>
    <w:rsid w:val="007F3DA7"/>
    <w:rsid w:val="007F4203"/>
    <w:rsid w:val="007F4290"/>
    <w:rsid w:val="007F502E"/>
    <w:rsid w:val="007F65F6"/>
    <w:rsid w:val="007F6A42"/>
    <w:rsid w:val="007F6C34"/>
    <w:rsid w:val="007F7A9A"/>
    <w:rsid w:val="008013CA"/>
    <w:rsid w:val="00801995"/>
    <w:rsid w:val="00802812"/>
    <w:rsid w:val="00802E86"/>
    <w:rsid w:val="00804E2C"/>
    <w:rsid w:val="008056CF"/>
    <w:rsid w:val="00806C7C"/>
    <w:rsid w:val="00806E35"/>
    <w:rsid w:val="0080728E"/>
    <w:rsid w:val="00810BA0"/>
    <w:rsid w:val="00811CC1"/>
    <w:rsid w:val="00811DC7"/>
    <w:rsid w:val="00812EF1"/>
    <w:rsid w:val="00814945"/>
    <w:rsid w:val="00814985"/>
    <w:rsid w:val="008155A0"/>
    <w:rsid w:val="008160BF"/>
    <w:rsid w:val="00816F96"/>
    <w:rsid w:val="008175D4"/>
    <w:rsid w:val="008223C4"/>
    <w:rsid w:val="00822C19"/>
    <w:rsid w:val="00823AF8"/>
    <w:rsid w:val="0082692A"/>
    <w:rsid w:val="00830500"/>
    <w:rsid w:val="00832ADC"/>
    <w:rsid w:val="008343F2"/>
    <w:rsid w:val="00835293"/>
    <w:rsid w:val="00835356"/>
    <w:rsid w:val="00836941"/>
    <w:rsid w:val="00836D5A"/>
    <w:rsid w:val="0083795A"/>
    <w:rsid w:val="00837C9F"/>
    <w:rsid w:val="00841A0B"/>
    <w:rsid w:val="00843379"/>
    <w:rsid w:val="008436F0"/>
    <w:rsid w:val="00843DAA"/>
    <w:rsid w:val="00843F40"/>
    <w:rsid w:val="00845019"/>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0D5"/>
    <w:rsid w:val="00864683"/>
    <w:rsid w:val="00864D17"/>
    <w:rsid w:val="0086572D"/>
    <w:rsid w:val="008719DB"/>
    <w:rsid w:val="00872250"/>
    <w:rsid w:val="008731B8"/>
    <w:rsid w:val="0087381D"/>
    <w:rsid w:val="00873D16"/>
    <w:rsid w:val="00875049"/>
    <w:rsid w:val="00875CB9"/>
    <w:rsid w:val="00875F0E"/>
    <w:rsid w:val="0087752A"/>
    <w:rsid w:val="00880F6C"/>
    <w:rsid w:val="008855E2"/>
    <w:rsid w:val="00885AAD"/>
    <w:rsid w:val="00886521"/>
    <w:rsid w:val="00886636"/>
    <w:rsid w:val="00886648"/>
    <w:rsid w:val="00887886"/>
    <w:rsid w:val="008936F1"/>
    <w:rsid w:val="008937A3"/>
    <w:rsid w:val="008943A1"/>
    <w:rsid w:val="00894705"/>
    <w:rsid w:val="0089509A"/>
    <w:rsid w:val="00895C60"/>
    <w:rsid w:val="008A196C"/>
    <w:rsid w:val="008A1E93"/>
    <w:rsid w:val="008A2A33"/>
    <w:rsid w:val="008A3451"/>
    <w:rsid w:val="008A4FE1"/>
    <w:rsid w:val="008A5E28"/>
    <w:rsid w:val="008A64DE"/>
    <w:rsid w:val="008A798C"/>
    <w:rsid w:val="008B148B"/>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46B"/>
    <w:rsid w:val="008F0C94"/>
    <w:rsid w:val="008F183C"/>
    <w:rsid w:val="008F229E"/>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5478"/>
    <w:rsid w:val="009256F4"/>
    <w:rsid w:val="009259D8"/>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246C"/>
    <w:rsid w:val="00A542B8"/>
    <w:rsid w:val="00A54719"/>
    <w:rsid w:val="00A602F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66C8"/>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7EC"/>
    <w:rsid w:val="00B82234"/>
    <w:rsid w:val="00B8283E"/>
    <w:rsid w:val="00B837AA"/>
    <w:rsid w:val="00B848C7"/>
    <w:rsid w:val="00B86E93"/>
    <w:rsid w:val="00B86EF4"/>
    <w:rsid w:val="00B87D03"/>
    <w:rsid w:val="00B909E8"/>
    <w:rsid w:val="00B90B37"/>
    <w:rsid w:val="00B91063"/>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BE0"/>
    <w:rsid w:val="00CE2D1F"/>
    <w:rsid w:val="00CE31E0"/>
    <w:rsid w:val="00CE444E"/>
    <w:rsid w:val="00CE52F0"/>
    <w:rsid w:val="00CE6F1A"/>
    <w:rsid w:val="00CF0272"/>
    <w:rsid w:val="00CF18A3"/>
    <w:rsid w:val="00CF356A"/>
    <w:rsid w:val="00CF3DA6"/>
    <w:rsid w:val="00CF4A61"/>
    <w:rsid w:val="00CF6809"/>
    <w:rsid w:val="00D003E1"/>
    <w:rsid w:val="00D01778"/>
    <w:rsid w:val="00D01A38"/>
    <w:rsid w:val="00D029CB"/>
    <w:rsid w:val="00D04274"/>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BCB"/>
    <w:rsid w:val="00D275C6"/>
    <w:rsid w:val="00D27639"/>
    <w:rsid w:val="00D3438E"/>
    <w:rsid w:val="00D34772"/>
    <w:rsid w:val="00D34CDC"/>
    <w:rsid w:val="00D34E8C"/>
    <w:rsid w:val="00D37938"/>
    <w:rsid w:val="00D40E89"/>
    <w:rsid w:val="00D41A51"/>
    <w:rsid w:val="00D42DFD"/>
    <w:rsid w:val="00D4588F"/>
    <w:rsid w:val="00D45BB6"/>
    <w:rsid w:val="00D45C6A"/>
    <w:rsid w:val="00D45E14"/>
    <w:rsid w:val="00D4755C"/>
    <w:rsid w:val="00D47707"/>
    <w:rsid w:val="00D5084A"/>
    <w:rsid w:val="00D5277A"/>
    <w:rsid w:val="00D52834"/>
    <w:rsid w:val="00D544FE"/>
    <w:rsid w:val="00D5505A"/>
    <w:rsid w:val="00D5596F"/>
    <w:rsid w:val="00D56F3F"/>
    <w:rsid w:val="00D57160"/>
    <w:rsid w:val="00D57733"/>
    <w:rsid w:val="00D601F1"/>
    <w:rsid w:val="00D61F13"/>
    <w:rsid w:val="00D63563"/>
    <w:rsid w:val="00D650A7"/>
    <w:rsid w:val="00D65513"/>
    <w:rsid w:val="00D672D6"/>
    <w:rsid w:val="00D67D4A"/>
    <w:rsid w:val="00D7096D"/>
    <w:rsid w:val="00D70B9D"/>
    <w:rsid w:val="00D72B46"/>
    <w:rsid w:val="00D72F7B"/>
    <w:rsid w:val="00D746C7"/>
    <w:rsid w:val="00D7506A"/>
    <w:rsid w:val="00D75BD9"/>
    <w:rsid w:val="00D75D2E"/>
    <w:rsid w:val="00D766D5"/>
    <w:rsid w:val="00D806A3"/>
    <w:rsid w:val="00D81232"/>
    <w:rsid w:val="00D81BAC"/>
    <w:rsid w:val="00D829CC"/>
    <w:rsid w:val="00D83149"/>
    <w:rsid w:val="00D83173"/>
    <w:rsid w:val="00D8380A"/>
    <w:rsid w:val="00D85273"/>
    <w:rsid w:val="00D85B96"/>
    <w:rsid w:val="00D90CC5"/>
    <w:rsid w:val="00D92C6A"/>
    <w:rsid w:val="00D93DC2"/>
    <w:rsid w:val="00D9573B"/>
    <w:rsid w:val="00D963A6"/>
    <w:rsid w:val="00DA12AB"/>
    <w:rsid w:val="00DA1C49"/>
    <w:rsid w:val="00DA1F90"/>
    <w:rsid w:val="00DA5CA3"/>
    <w:rsid w:val="00DA6E0F"/>
    <w:rsid w:val="00DB3689"/>
    <w:rsid w:val="00DB3767"/>
    <w:rsid w:val="00DB39E0"/>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5939"/>
    <w:rsid w:val="00DE7746"/>
    <w:rsid w:val="00DE7AA4"/>
    <w:rsid w:val="00DF11E4"/>
    <w:rsid w:val="00DF1C50"/>
    <w:rsid w:val="00DF4490"/>
    <w:rsid w:val="00DF4CBC"/>
    <w:rsid w:val="00DF5370"/>
    <w:rsid w:val="00DF6D73"/>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038E"/>
    <w:rsid w:val="00E22546"/>
    <w:rsid w:val="00E22B2E"/>
    <w:rsid w:val="00E252F3"/>
    <w:rsid w:val="00E269FD"/>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C4D"/>
    <w:rsid w:val="00E55E2E"/>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4537"/>
    <w:rsid w:val="00F64EA5"/>
    <w:rsid w:val="00F66660"/>
    <w:rsid w:val="00F66A3D"/>
    <w:rsid w:val="00F66DF3"/>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7351"/>
    <w:rsid w:val="00F90E30"/>
    <w:rsid w:val="00F917E4"/>
    <w:rsid w:val="00F91B00"/>
    <w:rsid w:val="00F92CFD"/>
    <w:rsid w:val="00F9424D"/>
    <w:rsid w:val="00F94956"/>
    <w:rsid w:val="00F94DFC"/>
    <w:rsid w:val="00F96574"/>
    <w:rsid w:val="00F96BAD"/>
    <w:rsid w:val="00F974D0"/>
    <w:rsid w:val="00F97A48"/>
    <w:rsid w:val="00FA08CA"/>
    <w:rsid w:val="00FA193F"/>
    <w:rsid w:val="00FA2EE5"/>
    <w:rsid w:val="00FA34B5"/>
    <w:rsid w:val="00FA3776"/>
    <w:rsid w:val="00FA3897"/>
    <w:rsid w:val="00FA729F"/>
    <w:rsid w:val="00FA75D3"/>
    <w:rsid w:val="00FB0158"/>
    <w:rsid w:val="00FB16BC"/>
    <w:rsid w:val="00FB25A0"/>
    <w:rsid w:val="00FB2D7C"/>
    <w:rsid w:val="00FB3195"/>
    <w:rsid w:val="00FB4F37"/>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2161"/>
    <w:rsid w:val="00FE4C69"/>
    <w:rsid w:val="00FE543B"/>
    <w:rsid w:val="00FE54F3"/>
    <w:rsid w:val="00FE58B6"/>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DCD20-0502-47B9-AC6A-4273FA88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8380</TotalTime>
  <Pages>6</Pages>
  <Words>2203</Words>
  <Characters>12558</Characters>
  <Application>Microsoft Office Word</Application>
  <DocSecurity>0</DocSecurity>
  <Lines>104</Lines>
  <Paragraphs>29</Paragraphs>
  <ScaleCrop>false</ScaleCrop>
  <Company>ZTE</Company>
  <LinksUpToDate>false</LinksUpToDate>
  <CharactersWithSpaces>14732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691</cp:revision>
  <cp:lastPrinted>2113-01-01T00:00:00Z</cp:lastPrinted>
  <dcterms:created xsi:type="dcterms:W3CDTF">2017-09-06T12:59:00Z</dcterms:created>
  <dcterms:modified xsi:type="dcterms:W3CDTF">2021-08-06T03:38:00Z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